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Book Antiqua" w:eastAsiaTheme="majorEastAsia" w:hAnsi="Book Antiqua" w:cstheme="minorHAnsi"/>
        </w:rPr>
        <w:id w:val="9573422"/>
        <w:docPartObj>
          <w:docPartGallery w:val="Cover Pages"/>
          <w:docPartUnique/>
        </w:docPartObj>
      </w:sdtPr>
      <w:sdtEndPr>
        <w:rPr>
          <w:rFonts w:eastAsia="Calibri"/>
        </w:rPr>
      </w:sdtEndPr>
      <w:sdtContent>
        <w:p w:rsidR="00903AB1" w:rsidRPr="00E65649" w:rsidRDefault="008E61E6" w:rsidP="008156E9">
          <w:pPr>
            <w:pStyle w:val="NoSpacing"/>
            <w:rPr>
              <w:rFonts w:ascii="Book Antiqua" w:eastAsiaTheme="majorEastAsia" w:hAnsi="Book Antiqua" w:cstheme="minorHAnsi"/>
              <w:b/>
            </w:rPr>
          </w:pPr>
          <w:r w:rsidRPr="008E61E6">
            <w:rPr>
              <w:rFonts w:ascii="Book Antiqua" w:eastAsiaTheme="majorEastAsia" w:hAnsi="Book Antiqua" w:cstheme="minorHAnsi"/>
              <w:noProof/>
              <w:lang w:eastAsia="zh-TW"/>
            </w:rPr>
            <w:pict>
              <v:rect id="_x0000_s1029"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8E61E6">
            <w:rPr>
              <w:rFonts w:ascii="Book Antiqua" w:eastAsiaTheme="majorEastAsia" w:hAnsi="Book Antiqua" w:cstheme="minorHAnsi"/>
              <w:noProof/>
              <w:lang w:eastAsia="zh-TW"/>
            </w:rPr>
            <w:pict>
              <v:rect id="_x0000_s1032"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8E61E6">
            <w:rPr>
              <w:rFonts w:ascii="Book Antiqua" w:eastAsiaTheme="majorEastAsia" w:hAnsi="Book Antiqua" w:cstheme="minorHAnsi"/>
              <w:noProof/>
              <w:lang w:eastAsia="zh-TW"/>
            </w:rPr>
            <w:pict>
              <v:rect id="_x0000_s1031"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8E61E6">
            <w:rPr>
              <w:rFonts w:ascii="Book Antiqua" w:eastAsiaTheme="majorEastAsia" w:hAnsi="Book Antiqua" w:cstheme="minorHAnsi"/>
              <w:noProof/>
              <w:lang w:eastAsia="zh-TW"/>
            </w:rPr>
            <w:pict>
              <v:rect id="_x0000_s1030"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Book Antiqua" w:eastAsiaTheme="majorEastAsia" w:hAnsi="Book Antiqua" w:cstheme="minorHAnsi"/>
              <w:b/>
              <w:sz w:val="96"/>
              <w:szCs w:val="96"/>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03AB1" w:rsidRPr="00E65649" w:rsidRDefault="00C3395A" w:rsidP="008156E9">
              <w:pPr>
                <w:pStyle w:val="NoSpacing"/>
                <w:rPr>
                  <w:rFonts w:ascii="Book Antiqua" w:eastAsiaTheme="majorEastAsia" w:hAnsi="Book Antiqua" w:cstheme="minorHAnsi"/>
                  <w:b/>
                </w:rPr>
              </w:pPr>
              <w:r w:rsidRPr="00E65649">
                <w:rPr>
                  <w:rFonts w:ascii="Book Antiqua" w:eastAsiaTheme="majorEastAsia" w:hAnsi="Book Antiqua" w:cstheme="minorHAnsi"/>
                  <w:b/>
                  <w:sz w:val="96"/>
                  <w:szCs w:val="96"/>
                </w:rPr>
                <w:t>RMS</w:t>
              </w:r>
              <w:r w:rsidR="00903AB1" w:rsidRPr="00E65649">
                <w:rPr>
                  <w:rFonts w:ascii="Book Antiqua" w:eastAsiaTheme="majorEastAsia" w:hAnsi="Book Antiqua" w:cstheme="minorHAnsi"/>
                  <w:b/>
                  <w:sz w:val="96"/>
                  <w:szCs w:val="96"/>
                </w:rPr>
                <w:t xml:space="preserve"> Policy</w:t>
              </w:r>
            </w:p>
          </w:sdtContent>
        </w:sdt>
        <w:sdt>
          <w:sdtPr>
            <w:rPr>
              <w:rFonts w:ascii="Book Antiqua" w:eastAsiaTheme="majorEastAsia" w:hAnsi="Book Antiqua" w:cstheme="minorHAns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03AB1" w:rsidRPr="00EE09DE" w:rsidRDefault="00CF2C39" w:rsidP="008156E9">
              <w:pPr>
                <w:pStyle w:val="NoSpacing"/>
                <w:rPr>
                  <w:rFonts w:ascii="Book Antiqua" w:eastAsiaTheme="majorEastAsia" w:hAnsi="Book Antiqua" w:cstheme="minorHAnsi"/>
                  <w:b/>
                  <w:sz w:val="56"/>
                  <w:szCs w:val="56"/>
                </w:rPr>
              </w:pPr>
              <w:r>
                <w:rPr>
                  <w:rFonts w:ascii="Book Antiqua" w:eastAsiaTheme="majorEastAsia" w:hAnsi="Book Antiqua" w:cstheme="minorHAnsi"/>
                  <w:b/>
                  <w:sz w:val="56"/>
                  <w:szCs w:val="56"/>
                </w:rPr>
                <w:t>SPS Share Brokers Private Limited</w:t>
              </w:r>
            </w:p>
          </w:sdtContent>
        </w:sdt>
        <w:p w:rsidR="00903AB1" w:rsidRPr="00E65649" w:rsidRDefault="00903AB1" w:rsidP="008156E9">
          <w:pPr>
            <w:pStyle w:val="NoSpacing"/>
            <w:rPr>
              <w:rFonts w:ascii="Book Antiqua" w:eastAsiaTheme="majorEastAsia" w:hAnsi="Book Antiqua" w:cstheme="minorHAnsi"/>
            </w:rPr>
          </w:pPr>
        </w:p>
        <w:sdt>
          <w:sdtPr>
            <w:rPr>
              <w:rFonts w:ascii="Book Antiqua" w:hAnsi="Book Antiqua" w:cstheme="minorHAnsi"/>
              <w:b/>
              <w:sz w:val="36"/>
              <w:szCs w:val="36"/>
            </w:rPr>
            <w:alias w:val="Date"/>
            <w:id w:val="14700083"/>
            <w:dataBinding w:prefixMappings="xmlns:ns0='http://schemas.microsoft.com/office/2006/coverPageProps'" w:xpath="/ns0:CoverPageProperties[1]/ns0:PublishDate[1]" w:storeItemID="{55AF091B-3C7A-41E3-B477-F2FDAA23CFDA}"/>
            <w:date w:fullDate="2025-06-01T00:00:00Z">
              <w:dateFormat w:val="dd-MM-yyyy"/>
              <w:lid w:val="en-US"/>
              <w:storeMappedDataAs w:val="dateTime"/>
              <w:calendar w:val="gregorian"/>
            </w:date>
          </w:sdtPr>
          <w:sdtContent>
            <w:p w:rsidR="00903AB1" w:rsidRPr="00E65649" w:rsidRDefault="00526448" w:rsidP="008156E9">
              <w:pPr>
                <w:pStyle w:val="NoSpacing"/>
                <w:rPr>
                  <w:rFonts w:ascii="Book Antiqua" w:hAnsi="Book Antiqua" w:cstheme="minorHAnsi"/>
                </w:rPr>
              </w:pPr>
              <w:r w:rsidRPr="00EE09DE">
                <w:rPr>
                  <w:rFonts w:ascii="Book Antiqua" w:hAnsi="Book Antiqua" w:cstheme="minorHAnsi"/>
                  <w:b/>
                  <w:sz w:val="36"/>
                  <w:szCs w:val="36"/>
                </w:rPr>
                <w:t>0</w:t>
              </w:r>
              <w:r w:rsidR="00CB3B17">
                <w:rPr>
                  <w:rFonts w:ascii="Book Antiqua" w:hAnsi="Book Antiqua" w:cstheme="minorHAnsi"/>
                  <w:b/>
                  <w:sz w:val="36"/>
                  <w:szCs w:val="36"/>
                </w:rPr>
                <w:t>1</w:t>
              </w:r>
              <w:r w:rsidRPr="00EE09DE">
                <w:rPr>
                  <w:rFonts w:ascii="Book Antiqua" w:hAnsi="Book Antiqua" w:cstheme="minorHAnsi"/>
                  <w:b/>
                  <w:sz w:val="36"/>
                  <w:szCs w:val="36"/>
                </w:rPr>
                <w:t>-0</w:t>
              </w:r>
              <w:r w:rsidR="00C67E6C">
                <w:rPr>
                  <w:rFonts w:ascii="Book Antiqua" w:hAnsi="Book Antiqua" w:cstheme="minorHAnsi"/>
                  <w:b/>
                  <w:sz w:val="36"/>
                  <w:szCs w:val="36"/>
                </w:rPr>
                <w:t>6</w:t>
              </w:r>
              <w:r w:rsidRPr="00EE09DE">
                <w:rPr>
                  <w:rFonts w:ascii="Book Antiqua" w:hAnsi="Book Antiqua" w:cstheme="minorHAnsi"/>
                  <w:b/>
                  <w:sz w:val="36"/>
                  <w:szCs w:val="36"/>
                </w:rPr>
                <w:t>-202</w:t>
              </w:r>
              <w:r w:rsidR="00C67E6C">
                <w:rPr>
                  <w:rFonts w:ascii="Book Antiqua" w:hAnsi="Book Antiqua" w:cstheme="minorHAnsi"/>
                  <w:b/>
                  <w:sz w:val="36"/>
                  <w:szCs w:val="36"/>
                </w:rPr>
                <w:t>5</w:t>
              </w:r>
            </w:p>
          </w:sdtContent>
        </w:sdt>
        <w:p w:rsidR="00903AB1" w:rsidRPr="00E65649" w:rsidRDefault="00903AB1" w:rsidP="008156E9">
          <w:pPr>
            <w:pStyle w:val="NoSpacing"/>
            <w:rPr>
              <w:rFonts w:ascii="Book Antiqua" w:hAnsi="Book Antiqua" w:cstheme="minorHAnsi"/>
            </w:rPr>
          </w:pPr>
        </w:p>
        <w:p w:rsidR="00903AB1" w:rsidRPr="00E65649" w:rsidRDefault="00A968B3" w:rsidP="00A968B3">
          <w:pPr>
            <w:pStyle w:val="NoSpacing"/>
            <w:tabs>
              <w:tab w:val="left" w:pos="2580"/>
            </w:tabs>
            <w:rPr>
              <w:rFonts w:ascii="Book Antiqua" w:hAnsi="Book Antiqua" w:cstheme="minorHAnsi"/>
            </w:rPr>
          </w:pPr>
          <w:r w:rsidRPr="00E65649">
            <w:rPr>
              <w:rFonts w:ascii="Book Antiqua" w:hAnsi="Book Antiqua" w:cstheme="minorHAnsi"/>
            </w:rPr>
            <w:tab/>
          </w:r>
        </w:p>
        <w:p w:rsidR="00903AB1" w:rsidRPr="00E65649" w:rsidRDefault="00903AB1" w:rsidP="008156E9">
          <w:pPr>
            <w:rPr>
              <w:rFonts w:ascii="Book Antiqua" w:hAnsi="Book Antiqua" w:cstheme="minorHAnsi"/>
            </w:rPr>
          </w:pPr>
        </w:p>
        <w:p w:rsidR="00903AB1" w:rsidRPr="00E65649" w:rsidRDefault="00903AB1" w:rsidP="008156E9">
          <w:pPr>
            <w:spacing w:after="0" w:line="240" w:lineRule="auto"/>
            <w:rPr>
              <w:rFonts w:ascii="Book Antiqua" w:hAnsi="Book Antiqua" w:cstheme="minorHAnsi"/>
            </w:rPr>
          </w:pPr>
          <w:r w:rsidRPr="00E65649">
            <w:rPr>
              <w:rFonts w:ascii="Book Antiqua" w:hAnsi="Book Antiqua" w:cstheme="minorHAnsi"/>
            </w:rPr>
            <w:br w:type="page"/>
          </w:r>
        </w:p>
      </w:sdtContent>
    </w:sdt>
    <w:p w:rsidR="0018279C" w:rsidRPr="00E65649" w:rsidRDefault="0018279C" w:rsidP="008156E9">
      <w:pPr>
        <w:jc w:val="center"/>
        <w:rPr>
          <w:rFonts w:ascii="Book Antiqua" w:hAnsi="Book Antiqua" w:cstheme="minorHAnsi"/>
          <w:b/>
          <w:i/>
        </w:rPr>
      </w:pPr>
      <w:bookmarkStart w:id="0" w:name="_Toc133823920"/>
      <w:bookmarkStart w:id="1" w:name="_Toc134592603"/>
      <w:bookmarkStart w:id="2" w:name="_Toc134595868"/>
      <w:bookmarkStart w:id="3" w:name="_Toc142306883"/>
      <w:bookmarkStart w:id="4" w:name="_Toc142307908"/>
      <w:bookmarkStart w:id="5" w:name="_Toc142307965"/>
      <w:bookmarkStart w:id="6" w:name="_Toc142308081"/>
      <w:r w:rsidRPr="00E65649">
        <w:rPr>
          <w:rFonts w:ascii="Book Antiqua" w:hAnsi="Book Antiqua" w:cstheme="minorHAnsi"/>
          <w:b/>
          <w:i/>
        </w:rPr>
        <w:lastRenderedPageBreak/>
        <w:t>Contents</w:t>
      </w:r>
    </w:p>
    <w:p w:rsidR="00442D5B" w:rsidRPr="00E65649" w:rsidRDefault="008E61E6">
      <w:pPr>
        <w:pStyle w:val="TOC1"/>
        <w:tabs>
          <w:tab w:val="right" w:leader="dot" w:pos="9019"/>
        </w:tabs>
        <w:rPr>
          <w:rFonts w:asciiTheme="minorHAnsi" w:eastAsiaTheme="minorEastAsia" w:hAnsiTheme="minorHAnsi" w:cstheme="minorBidi"/>
          <w:b/>
          <w:noProof/>
        </w:rPr>
      </w:pPr>
      <w:r w:rsidRPr="00E65649">
        <w:rPr>
          <w:rFonts w:ascii="Book Antiqua" w:hAnsi="Book Antiqua" w:cstheme="minorHAnsi"/>
          <w:b/>
        </w:rPr>
        <w:fldChar w:fldCharType="begin"/>
      </w:r>
      <w:r w:rsidR="0018279C" w:rsidRPr="00E65649">
        <w:rPr>
          <w:rFonts w:ascii="Book Antiqua" w:hAnsi="Book Antiqua" w:cstheme="minorHAnsi"/>
          <w:b/>
        </w:rPr>
        <w:instrText xml:space="preserve"> TOC \o "1-3" \h \z \u </w:instrText>
      </w:r>
      <w:r w:rsidRPr="00E65649">
        <w:rPr>
          <w:rFonts w:ascii="Book Antiqua" w:hAnsi="Book Antiqua" w:cstheme="minorHAnsi"/>
          <w:b/>
        </w:rPr>
        <w:fldChar w:fldCharType="separate"/>
      </w:r>
      <w:hyperlink w:anchor="_Toc168412284" w:history="1">
        <w:r w:rsidR="00442D5B" w:rsidRPr="00E65649">
          <w:rPr>
            <w:rStyle w:val="Hyperlink"/>
            <w:rFonts w:ascii="Book Antiqua" w:hAnsi="Book Antiqua" w:cstheme="minorHAnsi"/>
            <w:b/>
            <w:i/>
            <w:iCs/>
            <w:noProof/>
            <w:color w:val="auto"/>
          </w:rPr>
          <w:t>Document Control Page</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_Toc168412284 \h </w:instrText>
        </w:r>
        <w:r w:rsidRPr="00E65649">
          <w:rPr>
            <w:b/>
            <w:noProof/>
            <w:webHidden/>
          </w:rPr>
        </w:r>
        <w:r w:rsidRPr="00E65649">
          <w:rPr>
            <w:b/>
            <w:noProof/>
            <w:webHidden/>
          </w:rPr>
          <w:fldChar w:fldCharType="separate"/>
        </w:r>
        <w:r w:rsidR="00442D5B" w:rsidRPr="00E65649">
          <w:rPr>
            <w:b/>
            <w:noProof/>
            <w:webHidden/>
          </w:rPr>
          <w:t>3</w:t>
        </w:r>
        <w:r w:rsidRPr="00E65649">
          <w:rPr>
            <w:b/>
            <w:noProof/>
            <w:webHidden/>
          </w:rPr>
          <w:fldChar w:fldCharType="end"/>
        </w:r>
      </w:hyperlink>
    </w:p>
    <w:p w:rsidR="00442D5B" w:rsidRPr="00E65649" w:rsidRDefault="008E61E6">
      <w:pPr>
        <w:pStyle w:val="TOC1"/>
        <w:tabs>
          <w:tab w:val="right" w:leader="dot" w:pos="9019"/>
        </w:tabs>
        <w:rPr>
          <w:rFonts w:asciiTheme="minorHAnsi" w:eastAsiaTheme="minorEastAsia" w:hAnsiTheme="minorHAnsi" w:cstheme="minorBidi"/>
          <w:b/>
          <w:noProof/>
        </w:rPr>
      </w:pPr>
      <w:hyperlink w:anchor="_Toc168412285" w:history="1">
        <w:r w:rsidR="00442D5B" w:rsidRPr="00E65649">
          <w:rPr>
            <w:rStyle w:val="Hyperlink"/>
            <w:rFonts w:ascii="Book Antiqua" w:hAnsi="Book Antiqua" w:cstheme="minorHAnsi"/>
            <w:b/>
            <w:i/>
            <w:iCs/>
            <w:noProof/>
            <w:color w:val="auto"/>
          </w:rPr>
          <w:t>Background</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_Toc168412285 \h </w:instrText>
        </w:r>
        <w:r w:rsidRPr="00E65649">
          <w:rPr>
            <w:b/>
            <w:noProof/>
            <w:webHidden/>
          </w:rPr>
        </w:r>
        <w:r w:rsidRPr="00E65649">
          <w:rPr>
            <w:b/>
            <w:noProof/>
            <w:webHidden/>
          </w:rPr>
          <w:fldChar w:fldCharType="separate"/>
        </w:r>
        <w:r w:rsidR="00442D5B" w:rsidRPr="00E65649">
          <w:rPr>
            <w:b/>
            <w:noProof/>
            <w:webHidden/>
          </w:rPr>
          <w:t>4</w:t>
        </w:r>
        <w:r w:rsidRPr="00E65649">
          <w:rPr>
            <w:b/>
            <w:noProof/>
            <w:webHidden/>
          </w:rPr>
          <w:fldChar w:fldCharType="end"/>
        </w:r>
      </w:hyperlink>
    </w:p>
    <w:p w:rsidR="00442D5B" w:rsidRPr="00E65649" w:rsidRDefault="008E61E6">
      <w:pPr>
        <w:pStyle w:val="TOC1"/>
        <w:tabs>
          <w:tab w:val="right" w:leader="dot" w:pos="9019"/>
        </w:tabs>
        <w:rPr>
          <w:rFonts w:asciiTheme="minorHAnsi" w:eastAsiaTheme="minorEastAsia" w:hAnsiTheme="minorHAnsi" w:cstheme="minorBidi"/>
          <w:b/>
          <w:noProof/>
        </w:rPr>
      </w:pPr>
      <w:hyperlink w:anchor="_Toc168412286" w:history="1">
        <w:r w:rsidR="00442D5B" w:rsidRPr="00E65649">
          <w:rPr>
            <w:rStyle w:val="Hyperlink"/>
            <w:rFonts w:ascii="Book Antiqua" w:hAnsi="Book Antiqua"/>
            <w:b/>
            <w:i/>
            <w:iCs/>
            <w:noProof/>
            <w:color w:val="auto"/>
          </w:rPr>
          <w:t>Policy</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_Toc168412286 \h </w:instrText>
        </w:r>
        <w:r w:rsidRPr="00E65649">
          <w:rPr>
            <w:b/>
            <w:noProof/>
            <w:webHidden/>
          </w:rPr>
        </w:r>
        <w:r w:rsidRPr="00E65649">
          <w:rPr>
            <w:b/>
            <w:noProof/>
            <w:webHidden/>
          </w:rPr>
          <w:fldChar w:fldCharType="separate"/>
        </w:r>
        <w:r w:rsidR="00442D5B" w:rsidRPr="00E65649">
          <w:rPr>
            <w:b/>
            <w:noProof/>
            <w:webHidden/>
          </w:rPr>
          <w:t>5</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87" w:history="1">
        <w:r w:rsidR="00442D5B" w:rsidRPr="00E65649">
          <w:rPr>
            <w:rStyle w:val="Hyperlink"/>
            <w:rFonts w:ascii="Book Antiqua" w:hAnsi="Book Antiqua"/>
            <w:b/>
            <w:noProof/>
            <w:color w:val="auto"/>
          </w:rPr>
          <w:t>1.</w:t>
        </w:r>
        <w:r w:rsidR="00442D5B" w:rsidRPr="00E65649">
          <w:rPr>
            <w:rFonts w:asciiTheme="minorHAnsi" w:eastAsiaTheme="minorEastAsia" w:hAnsiTheme="minorHAnsi" w:cstheme="minorBidi"/>
            <w:b/>
            <w:noProof/>
          </w:rPr>
          <w:tab/>
        </w:r>
        <w:r w:rsidR="00442D5B" w:rsidRPr="00E65649">
          <w:rPr>
            <w:rStyle w:val="Hyperlink"/>
            <w:rFonts w:ascii="Book Antiqua" w:hAnsi="Book Antiqua"/>
            <w:b/>
            <w:noProof/>
            <w:color w:val="auto"/>
          </w:rPr>
          <w:t>Margin collection in Cash, Equity &amp; Currency Derivative segments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_Toc168412287 \h </w:instrText>
        </w:r>
        <w:r w:rsidRPr="00E65649">
          <w:rPr>
            <w:b/>
            <w:noProof/>
            <w:webHidden/>
          </w:rPr>
        </w:r>
        <w:r w:rsidRPr="00E65649">
          <w:rPr>
            <w:b/>
            <w:noProof/>
            <w:webHidden/>
          </w:rPr>
          <w:fldChar w:fldCharType="separate"/>
        </w:r>
        <w:r w:rsidR="00442D5B" w:rsidRPr="00E65649">
          <w:rPr>
            <w:b/>
            <w:noProof/>
            <w:webHidden/>
          </w:rPr>
          <w:t>5</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88" w:history="1">
        <w:r w:rsidR="00442D5B" w:rsidRPr="00E65649">
          <w:rPr>
            <w:rStyle w:val="Hyperlink"/>
            <w:rFonts w:ascii="Book Antiqua" w:eastAsia="Times New Roman" w:hAnsi="Book Antiqua"/>
            <w:b/>
            <w:noProof/>
            <w:color w:val="auto"/>
            <w:lang w:eastAsia="en-IN"/>
          </w:rPr>
          <w:t>2.</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Setting up of Margin Limit in Cash, F&amp;O &amp; Currency segment</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_Toc168412288 \h </w:instrText>
        </w:r>
        <w:r w:rsidRPr="00E65649">
          <w:rPr>
            <w:b/>
            <w:noProof/>
            <w:webHidden/>
          </w:rPr>
        </w:r>
        <w:r w:rsidRPr="00E65649">
          <w:rPr>
            <w:b/>
            <w:noProof/>
            <w:webHidden/>
          </w:rPr>
          <w:fldChar w:fldCharType="separate"/>
        </w:r>
        <w:r w:rsidR="00442D5B" w:rsidRPr="00E65649">
          <w:rPr>
            <w:b/>
            <w:noProof/>
            <w:webHidden/>
          </w:rPr>
          <w:t>5</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89" w:history="1">
        <w:r w:rsidR="00442D5B" w:rsidRPr="00E65649">
          <w:rPr>
            <w:rStyle w:val="Hyperlink"/>
            <w:rFonts w:ascii="Book Antiqua" w:eastAsia="Times New Roman" w:hAnsi="Book Antiqua"/>
            <w:b/>
            <w:noProof/>
            <w:color w:val="auto"/>
            <w:lang w:eastAsia="en-IN"/>
          </w:rPr>
          <w:t>3.</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Refusal/partial rejection of client orders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_Toc168412289 \h </w:instrText>
        </w:r>
        <w:r w:rsidRPr="00E65649">
          <w:rPr>
            <w:b/>
            <w:noProof/>
            <w:webHidden/>
          </w:rPr>
        </w:r>
        <w:r w:rsidRPr="00E65649">
          <w:rPr>
            <w:b/>
            <w:noProof/>
            <w:webHidden/>
          </w:rPr>
          <w:fldChar w:fldCharType="separate"/>
        </w:r>
        <w:r w:rsidR="00442D5B" w:rsidRPr="00E65649">
          <w:rPr>
            <w:b/>
            <w:noProof/>
            <w:webHidden/>
          </w:rPr>
          <w:t>6</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0" w:history="1">
        <w:r w:rsidR="00442D5B" w:rsidRPr="00E65649">
          <w:rPr>
            <w:rStyle w:val="Hyperlink"/>
            <w:rFonts w:ascii="Book Antiqua" w:eastAsia="Times New Roman" w:hAnsi="Book Antiqua"/>
            <w:b/>
            <w:noProof/>
            <w:color w:val="auto"/>
            <w:lang w:eastAsia="en-IN"/>
          </w:rPr>
          <w:t>4.</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Right to sell clients securities or close clients positions or invoke pledged collateral</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_Toc168412290 \h </w:instrText>
        </w:r>
        <w:r w:rsidRPr="00E65649">
          <w:rPr>
            <w:b/>
            <w:noProof/>
            <w:webHidden/>
          </w:rPr>
        </w:r>
        <w:r w:rsidRPr="00E65649">
          <w:rPr>
            <w:b/>
            <w:noProof/>
            <w:webHidden/>
          </w:rPr>
          <w:fldChar w:fldCharType="separate"/>
        </w:r>
        <w:r w:rsidR="00442D5B" w:rsidRPr="00E65649">
          <w:rPr>
            <w:b/>
            <w:noProof/>
            <w:webHidden/>
          </w:rPr>
          <w:t>6</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1" w:history="1">
        <w:r w:rsidR="00442D5B" w:rsidRPr="00E65649">
          <w:rPr>
            <w:rStyle w:val="Hyperlink"/>
            <w:rFonts w:ascii="Book Antiqua" w:eastAsia="Times New Roman" w:hAnsi="Book Antiqua"/>
            <w:b/>
            <w:noProof/>
            <w:color w:val="auto"/>
            <w:lang w:eastAsia="en-IN"/>
          </w:rPr>
          <w:t>5.</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Funding to client</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_Toc168412291 \h </w:instrText>
        </w:r>
        <w:r w:rsidRPr="00E65649">
          <w:rPr>
            <w:b/>
            <w:noProof/>
            <w:webHidden/>
          </w:rPr>
        </w:r>
        <w:r w:rsidRPr="00E65649">
          <w:rPr>
            <w:b/>
            <w:noProof/>
            <w:webHidden/>
          </w:rPr>
          <w:fldChar w:fldCharType="separate"/>
        </w:r>
        <w:r w:rsidR="00442D5B" w:rsidRPr="00E65649">
          <w:rPr>
            <w:b/>
            <w:noProof/>
            <w:webHidden/>
          </w:rPr>
          <w:t>8</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2" w:history="1">
        <w:r w:rsidR="00442D5B" w:rsidRPr="00E65649">
          <w:rPr>
            <w:rStyle w:val="Hyperlink"/>
            <w:rFonts w:ascii="Book Antiqua" w:eastAsia="Times New Roman" w:hAnsi="Book Antiqua"/>
            <w:b/>
            <w:noProof/>
            <w:color w:val="auto"/>
            <w:lang w:eastAsia="en-IN"/>
          </w:rPr>
          <w:t>6.</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Restrictions on creation of carry forward positions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_Toc168412292 \h </w:instrText>
        </w:r>
        <w:r w:rsidRPr="00E65649">
          <w:rPr>
            <w:b/>
            <w:noProof/>
            <w:webHidden/>
          </w:rPr>
        </w:r>
        <w:r w:rsidRPr="00E65649">
          <w:rPr>
            <w:b/>
            <w:noProof/>
            <w:webHidden/>
          </w:rPr>
          <w:fldChar w:fldCharType="separate"/>
        </w:r>
        <w:r w:rsidR="00442D5B" w:rsidRPr="00E65649">
          <w:rPr>
            <w:b/>
            <w:noProof/>
            <w:webHidden/>
          </w:rPr>
          <w:t>8</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3" w:history="1">
        <w:r w:rsidR="00442D5B" w:rsidRPr="00E65649">
          <w:rPr>
            <w:rStyle w:val="Hyperlink"/>
            <w:rFonts w:ascii="Book Antiqua" w:eastAsia="Times New Roman" w:hAnsi="Book Antiqua"/>
            <w:b/>
            <w:noProof/>
            <w:color w:val="auto"/>
            <w:lang w:eastAsia="en-IN"/>
          </w:rPr>
          <w:t>7.</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Temporarily suspending or closing a client’s account</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_Toc168412293 \h </w:instrText>
        </w:r>
        <w:r w:rsidRPr="00E65649">
          <w:rPr>
            <w:b/>
            <w:noProof/>
            <w:webHidden/>
          </w:rPr>
        </w:r>
        <w:r w:rsidRPr="00E65649">
          <w:rPr>
            <w:b/>
            <w:noProof/>
            <w:webHidden/>
          </w:rPr>
          <w:fldChar w:fldCharType="separate"/>
        </w:r>
        <w:r w:rsidR="00442D5B" w:rsidRPr="00E65649">
          <w:rPr>
            <w:b/>
            <w:noProof/>
            <w:webHidden/>
          </w:rPr>
          <w:t>9</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4" w:history="1">
        <w:r w:rsidR="00442D5B" w:rsidRPr="00E65649">
          <w:rPr>
            <w:rStyle w:val="Hyperlink"/>
            <w:rFonts w:ascii="Book Antiqua" w:eastAsia="Times New Roman" w:hAnsi="Book Antiqua"/>
            <w:b/>
            <w:noProof/>
            <w:color w:val="auto"/>
            <w:lang w:eastAsia="en-IN"/>
          </w:rPr>
          <w:t>8.</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Deregistering a client</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_Toc168412294 \h </w:instrText>
        </w:r>
        <w:r w:rsidRPr="00E65649">
          <w:rPr>
            <w:b/>
            <w:noProof/>
            <w:webHidden/>
          </w:rPr>
        </w:r>
        <w:r w:rsidRPr="00E65649">
          <w:rPr>
            <w:b/>
            <w:noProof/>
            <w:webHidden/>
          </w:rPr>
          <w:fldChar w:fldCharType="separate"/>
        </w:r>
        <w:r w:rsidR="00442D5B" w:rsidRPr="00E65649">
          <w:rPr>
            <w:b/>
            <w:noProof/>
            <w:webHidden/>
          </w:rPr>
          <w:t>9</w:t>
        </w:r>
        <w:r w:rsidRPr="00E65649">
          <w:rPr>
            <w:b/>
            <w:noProof/>
            <w:webHidden/>
          </w:rPr>
          <w:fldChar w:fldCharType="end"/>
        </w:r>
      </w:hyperlink>
    </w:p>
    <w:p w:rsidR="00442D5B" w:rsidRPr="00E65649" w:rsidRDefault="008E61E6">
      <w:pPr>
        <w:pStyle w:val="TOC2"/>
        <w:tabs>
          <w:tab w:val="left" w:pos="660"/>
          <w:tab w:val="right" w:leader="dot" w:pos="9019"/>
        </w:tabs>
        <w:rPr>
          <w:rFonts w:asciiTheme="minorHAnsi" w:eastAsiaTheme="minorEastAsia" w:hAnsiTheme="minorHAnsi" w:cstheme="minorBidi"/>
          <w:b/>
          <w:noProof/>
        </w:rPr>
      </w:pPr>
      <w:hyperlink w:anchor="_Toc168412295" w:history="1">
        <w:r w:rsidR="00442D5B" w:rsidRPr="00E65649">
          <w:rPr>
            <w:rStyle w:val="Hyperlink"/>
            <w:rFonts w:ascii="Book Antiqua" w:eastAsia="Times New Roman" w:hAnsi="Book Antiqua"/>
            <w:b/>
            <w:noProof/>
            <w:color w:val="auto"/>
            <w:lang w:eastAsia="en-IN"/>
          </w:rPr>
          <w:t>9.</w:t>
        </w:r>
        <w:r w:rsidR="00442D5B" w:rsidRPr="00E65649">
          <w:rPr>
            <w:rFonts w:asciiTheme="minorHAnsi" w:eastAsiaTheme="minorEastAsia" w:hAnsiTheme="minorHAnsi" w:cstheme="minorBidi"/>
            <w:b/>
            <w:noProof/>
          </w:rPr>
          <w:tab/>
        </w:r>
        <w:r w:rsidR="00442D5B" w:rsidRPr="00E65649">
          <w:rPr>
            <w:rStyle w:val="Hyperlink"/>
            <w:rFonts w:ascii="Book Antiqua" w:eastAsia="Times New Roman" w:hAnsi="Book Antiqua"/>
            <w:b/>
            <w:noProof/>
            <w:color w:val="auto"/>
            <w:lang w:eastAsia="en-IN"/>
          </w:rPr>
          <w:t>Procedure for Activation of in</w:t>
        </w:r>
        <w:r w:rsidR="00442D5B" w:rsidRPr="00E65649">
          <w:rPr>
            <w:rStyle w:val="Hyperlink"/>
            <w:rFonts w:ascii="Cambria Math" w:eastAsia="Times New Roman" w:hAnsi="Cambria Math" w:cs="Cambria Math"/>
            <w:b/>
            <w:noProof/>
            <w:color w:val="auto"/>
            <w:lang w:eastAsia="en-IN"/>
          </w:rPr>
          <w:t>‐</w:t>
        </w:r>
        <w:r w:rsidR="00442D5B" w:rsidRPr="00E65649">
          <w:rPr>
            <w:rStyle w:val="Hyperlink"/>
            <w:rFonts w:ascii="Book Antiqua" w:eastAsia="Times New Roman" w:hAnsi="Book Antiqua"/>
            <w:b/>
            <w:noProof/>
            <w:color w:val="auto"/>
            <w:lang w:eastAsia="en-IN"/>
          </w:rPr>
          <w:t>operative accounts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_Toc168412295 \h </w:instrText>
        </w:r>
        <w:r w:rsidRPr="00E65649">
          <w:rPr>
            <w:b/>
            <w:noProof/>
            <w:webHidden/>
          </w:rPr>
        </w:r>
        <w:r w:rsidRPr="00E65649">
          <w:rPr>
            <w:b/>
            <w:noProof/>
            <w:webHidden/>
          </w:rPr>
          <w:fldChar w:fldCharType="separate"/>
        </w:r>
        <w:r w:rsidR="00442D5B" w:rsidRPr="00E65649">
          <w:rPr>
            <w:b/>
            <w:noProof/>
            <w:webHidden/>
          </w:rPr>
          <w:t>10</w:t>
        </w:r>
        <w:r w:rsidRPr="00E65649">
          <w:rPr>
            <w:b/>
            <w:noProof/>
            <w:webHidden/>
          </w:rPr>
          <w:fldChar w:fldCharType="end"/>
        </w:r>
      </w:hyperlink>
    </w:p>
    <w:p w:rsidR="00442D5B" w:rsidRPr="00E65649" w:rsidRDefault="008E61E6">
      <w:pPr>
        <w:pStyle w:val="TOC2"/>
        <w:tabs>
          <w:tab w:val="left" w:pos="880"/>
          <w:tab w:val="right" w:leader="dot" w:pos="9019"/>
        </w:tabs>
        <w:rPr>
          <w:rFonts w:asciiTheme="minorHAnsi" w:eastAsiaTheme="minorEastAsia" w:hAnsiTheme="minorHAnsi" w:cstheme="minorBidi"/>
          <w:b/>
          <w:noProof/>
        </w:rPr>
      </w:pPr>
      <w:hyperlink w:anchor="_Toc168412296" w:history="1">
        <w:r w:rsidR="00442D5B" w:rsidRPr="00E65649">
          <w:rPr>
            <w:rStyle w:val="Hyperlink"/>
            <w:rFonts w:ascii="Book Antiqua" w:eastAsia="Times New Roman" w:hAnsi="Book Antiqua"/>
            <w:b/>
            <w:noProof/>
            <w:color w:val="auto"/>
            <w:lang w:eastAsia="en-IN"/>
          </w:rPr>
          <w:t>10.Intimation to clients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_Toc168412296 \h </w:instrText>
        </w:r>
        <w:r w:rsidRPr="00E65649">
          <w:rPr>
            <w:b/>
            <w:noProof/>
            <w:webHidden/>
          </w:rPr>
        </w:r>
        <w:r w:rsidRPr="00E65649">
          <w:rPr>
            <w:b/>
            <w:noProof/>
            <w:webHidden/>
          </w:rPr>
          <w:fldChar w:fldCharType="separate"/>
        </w:r>
        <w:r w:rsidR="00442D5B" w:rsidRPr="00E65649">
          <w:rPr>
            <w:b/>
            <w:noProof/>
            <w:webHidden/>
          </w:rPr>
          <w:t>10</w:t>
        </w:r>
        <w:r w:rsidRPr="00E65649">
          <w:rPr>
            <w:b/>
            <w:noProof/>
            <w:webHidden/>
          </w:rPr>
          <w:fldChar w:fldCharType="end"/>
        </w:r>
      </w:hyperlink>
    </w:p>
    <w:p w:rsidR="00442D5B" w:rsidRPr="00E65649" w:rsidRDefault="008E61E6">
      <w:pPr>
        <w:pStyle w:val="TOC2"/>
        <w:tabs>
          <w:tab w:val="left" w:pos="880"/>
          <w:tab w:val="right" w:leader="dot" w:pos="9019"/>
        </w:tabs>
        <w:rPr>
          <w:rFonts w:asciiTheme="minorHAnsi" w:eastAsiaTheme="minorEastAsia" w:hAnsiTheme="minorHAnsi" w:cstheme="minorBidi"/>
          <w:b/>
          <w:noProof/>
        </w:rPr>
      </w:pPr>
      <w:hyperlink w:anchor="_Toc168412297" w:history="1">
        <w:r w:rsidR="00442D5B" w:rsidRPr="00E65649">
          <w:rPr>
            <w:rStyle w:val="Hyperlink"/>
            <w:rFonts w:ascii="Book Antiqua" w:eastAsia="Times New Roman" w:hAnsi="Book Antiqua"/>
            <w:b/>
            <w:noProof/>
            <w:color w:val="auto"/>
            <w:lang w:eastAsia="en-IN"/>
          </w:rPr>
          <w:t>11.   Deviations</w:t>
        </w:r>
        <w:r w:rsidR="00442D5B" w:rsidRPr="00E65649">
          <w:rPr>
            <w:b/>
            <w:noProof/>
            <w:webHidden/>
          </w:rPr>
          <w:tab/>
        </w:r>
        <w:r w:rsidRPr="00E65649">
          <w:rPr>
            <w:b/>
            <w:noProof/>
            <w:webHidden/>
          </w:rPr>
          <w:fldChar w:fldCharType="begin"/>
        </w:r>
        <w:r w:rsidR="00442D5B" w:rsidRPr="00E65649">
          <w:rPr>
            <w:b/>
            <w:noProof/>
            <w:webHidden/>
          </w:rPr>
          <w:instrText xml:space="preserve"> PAGEREF _Toc168412297 \h </w:instrText>
        </w:r>
        <w:r w:rsidRPr="00E65649">
          <w:rPr>
            <w:b/>
            <w:noProof/>
            <w:webHidden/>
          </w:rPr>
        </w:r>
        <w:r w:rsidRPr="00E65649">
          <w:rPr>
            <w:b/>
            <w:noProof/>
            <w:webHidden/>
          </w:rPr>
          <w:fldChar w:fldCharType="separate"/>
        </w:r>
        <w:r w:rsidR="00442D5B" w:rsidRPr="00E65649">
          <w:rPr>
            <w:b/>
            <w:noProof/>
            <w:webHidden/>
          </w:rPr>
          <w:t>10</w:t>
        </w:r>
        <w:r w:rsidRPr="00E65649">
          <w:rPr>
            <w:b/>
            <w:noProof/>
            <w:webHidden/>
          </w:rPr>
          <w:fldChar w:fldCharType="end"/>
        </w:r>
      </w:hyperlink>
    </w:p>
    <w:p w:rsidR="00D5615F" w:rsidRPr="00E65649" w:rsidRDefault="008E61E6" w:rsidP="00D5615F">
      <w:pPr>
        <w:rPr>
          <w:rFonts w:ascii="Book Antiqua" w:hAnsi="Book Antiqua" w:cstheme="minorHAnsi"/>
          <w:b/>
        </w:rPr>
      </w:pPr>
      <w:r w:rsidRPr="00E65649">
        <w:rPr>
          <w:rFonts w:ascii="Book Antiqua" w:hAnsi="Book Antiqua" w:cstheme="minorHAnsi"/>
          <w:b/>
        </w:rPr>
        <w:fldChar w:fldCharType="end"/>
      </w:r>
      <w:bookmarkStart w:id="7" w:name="_Toc400112766"/>
      <w:bookmarkEnd w:id="0"/>
      <w:bookmarkEnd w:id="1"/>
      <w:bookmarkEnd w:id="2"/>
      <w:bookmarkEnd w:id="3"/>
      <w:bookmarkEnd w:id="4"/>
      <w:bookmarkEnd w:id="5"/>
      <w:bookmarkEnd w:id="6"/>
    </w:p>
    <w:p w:rsidR="00D5615F" w:rsidRPr="00E65649" w:rsidRDefault="00D5615F" w:rsidP="002A7DDB">
      <w:pPr>
        <w:pStyle w:val="Heading1"/>
        <w:jc w:val="center"/>
        <w:rPr>
          <w:rStyle w:val="Emphasis"/>
          <w:rFonts w:ascii="Book Antiqua" w:hAnsi="Book Antiqua" w:cstheme="minorHAnsi"/>
          <w:i w:val="0"/>
          <w:iCs w:val="0"/>
          <w:color w:val="auto"/>
          <w:sz w:val="22"/>
          <w:szCs w:val="22"/>
        </w:rPr>
      </w:pPr>
      <w:r w:rsidRPr="00E65649">
        <w:rPr>
          <w:rFonts w:ascii="Book Antiqua" w:hAnsi="Book Antiqua" w:cstheme="minorHAnsi"/>
          <w:color w:val="auto"/>
        </w:rPr>
        <w:br w:type="page"/>
      </w:r>
      <w:bookmarkStart w:id="8" w:name="_Toc168412284"/>
      <w:r w:rsidRPr="00E65649">
        <w:rPr>
          <w:rStyle w:val="Emphasis"/>
          <w:rFonts w:ascii="Book Antiqua" w:hAnsi="Book Antiqua" w:cstheme="minorHAnsi"/>
          <w:color w:val="auto"/>
          <w:sz w:val="22"/>
          <w:szCs w:val="22"/>
        </w:rPr>
        <w:t>Document Control Page</w:t>
      </w:r>
      <w:bookmarkEnd w:id="8"/>
      <w:r w:rsidR="008E61E6" w:rsidRPr="00E65649">
        <w:rPr>
          <w:rStyle w:val="Emphasis"/>
          <w:rFonts w:ascii="Book Antiqua" w:hAnsi="Book Antiqua" w:cstheme="minorHAnsi"/>
          <w:color w:val="auto"/>
          <w:sz w:val="22"/>
          <w:szCs w:val="22"/>
        </w:rPr>
        <w:fldChar w:fldCharType="begin"/>
      </w:r>
      <w:r w:rsidRPr="00E65649">
        <w:rPr>
          <w:rStyle w:val="Emphasis"/>
          <w:rFonts w:ascii="Book Antiqua" w:hAnsi="Book Antiqua" w:cstheme="minorHAnsi"/>
          <w:color w:val="auto"/>
          <w:sz w:val="22"/>
          <w:szCs w:val="22"/>
        </w:rPr>
        <w:instrText xml:space="preserve"> XE "Document Control Page" </w:instrText>
      </w:r>
      <w:r w:rsidR="008E61E6" w:rsidRPr="00E65649">
        <w:rPr>
          <w:rStyle w:val="Emphasis"/>
          <w:rFonts w:ascii="Book Antiqua" w:hAnsi="Book Antiqua" w:cstheme="minorHAnsi"/>
          <w:color w:val="auto"/>
          <w:sz w:val="22"/>
          <w:szCs w:val="22"/>
        </w:rPr>
        <w:fldChar w:fldCharType="end"/>
      </w:r>
    </w:p>
    <w:p w:rsidR="00D5615F" w:rsidRPr="00E65649" w:rsidRDefault="00D5615F" w:rsidP="00D5615F">
      <w:pPr>
        <w:jc w:val="cente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6690"/>
      </w:tblGrid>
      <w:tr w:rsidR="00E65649" w:rsidRPr="00E65649" w:rsidTr="00E52B80">
        <w:trPr>
          <w:trHeight w:val="602"/>
          <w:jc w:val="center"/>
        </w:trPr>
        <w:tc>
          <w:tcPr>
            <w:tcW w:w="1382" w:type="pct"/>
          </w:tcPr>
          <w:p w:rsidR="00D5615F" w:rsidRPr="00E65649" w:rsidRDefault="00D5615F" w:rsidP="00E52B80">
            <w:pPr>
              <w:pStyle w:val="NormalWeb"/>
              <w:spacing w:after="0" w:afterAutospacing="0" w:line="240" w:lineRule="auto"/>
              <w:ind w:left="0" w:right="0"/>
              <w:jc w:val="both"/>
              <w:rPr>
                <w:rFonts w:ascii="Book Antiqua" w:hAnsi="Book Antiqua" w:cstheme="minorHAnsi"/>
                <w:b/>
                <w:color w:val="auto"/>
                <w:sz w:val="22"/>
                <w:szCs w:val="22"/>
              </w:rPr>
            </w:pPr>
            <w:r w:rsidRPr="00E65649">
              <w:rPr>
                <w:rFonts w:ascii="Book Antiqua" w:hAnsi="Book Antiqua" w:cstheme="minorHAnsi"/>
                <w:b/>
                <w:color w:val="auto"/>
                <w:sz w:val="22"/>
                <w:szCs w:val="22"/>
              </w:rPr>
              <w:t>Document Name</w:t>
            </w:r>
          </w:p>
        </w:tc>
        <w:tc>
          <w:tcPr>
            <w:tcW w:w="3618" w:type="pct"/>
          </w:tcPr>
          <w:p w:rsidR="00D5615F" w:rsidRPr="00E65649" w:rsidRDefault="00AB1142" w:rsidP="00E52B80">
            <w:pPr>
              <w:pStyle w:val="NormalWeb"/>
              <w:spacing w:after="0" w:afterAutospacing="0" w:line="240" w:lineRule="auto"/>
              <w:ind w:left="0" w:right="0"/>
              <w:jc w:val="both"/>
              <w:rPr>
                <w:rFonts w:ascii="Book Antiqua" w:hAnsi="Book Antiqua" w:cstheme="minorHAnsi"/>
                <w:color w:val="auto"/>
                <w:sz w:val="22"/>
                <w:szCs w:val="22"/>
              </w:rPr>
            </w:pPr>
            <w:r w:rsidRPr="00E65649">
              <w:rPr>
                <w:rFonts w:ascii="Book Antiqua" w:hAnsi="Book Antiqua" w:cstheme="minorHAnsi"/>
                <w:color w:val="auto"/>
                <w:sz w:val="22"/>
                <w:szCs w:val="22"/>
              </w:rPr>
              <w:t xml:space="preserve">RMS </w:t>
            </w:r>
            <w:r w:rsidR="00D5615F" w:rsidRPr="00E65649">
              <w:rPr>
                <w:rFonts w:ascii="Book Antiqua" w:hAnsi="Book Antiqua" w:cstheme="minorHAnsi"/>
                <w:color w:val="auto"/>
                <w:sz w:val="22"/>
                <w:szCs w:val="22"/>
              </w:rPr>
              <w:t>Policy</w:t>
            </w:r>
          </w:p>
        </w:tc>
      </w:tr>
      <w:tr w:rsidR="000A6C91" w:rsidRPr="00E65649" w:rsidTr="00E52B80">
        <w:trPr>
          <w:trHeight w:val="602"/>
          <w:jc w:val="center"/>
        </w:trPr>
        <w:tc>
          <w:tcPr>
            <w:tcW w:w="1382" w:type="pct"/>
          </w:tcPr>
          <w:p w:rsidR="000A6C91" w:rsidRPr="00E65649" w:rsidRDefault="000A6C91" w:rsidP="00115B13">
            <w:pPr>
              <w:pStyle w:val="NormalWeb"/>
              <w:spacing w:after="0" w:afterAutospacing="0" w:line="240" w:lineRule="auto"/>
              <w:jc w:val="both"/>
              <w:rPr>
                <w:rFonts w:ascii="Book Antiqua" w:hAnsi="Book Antiqua" w:cstheme="minorHAnsi"/>
                <w:b/>
                <w:color w:val="auto"/>
                <w:sz w:val="22"/>
                <w:szCs w:val="22"/>
              </w:rPr>
            </w:pPr>
            <w:r w:rsidRPr="00E65649">
              <w:rPr>
                <w:rFonts w:ascii="Book Antiqua" w:hAnsi="Book Antiqua" w:cstheme="minorHAnsi"/>
                <w:b/>
                <w:color w:val="auto"/>
                <w:sz w:val="22"/>
                <w:szCs w:val="22"/>
              </w:rPr>
              <w:t>Applicability</w:t>
            </w:r>
          </w:p>
        </w:tc>
        <w:tc>
          <w:tcPr>
            <w:tcW w:w="3618" w:type="pct"/>
          </w:tcPr>
          <w:p w:rsidR="000A6C91" w:rsidRPr="00E65649" w:rsidRDefault="000A6C91" w:rsidP="00AB1142">
            <w:pPr>
              <w:pStyle w:val="NormalWeb"/>
              <w:spacing w:after="0" w:afterAutospacing="0" w:line="240" w:lineRule="auto"/>
              <w:jc w:val="both"/>
              <w:rPr>
                <w:rFonts w:ascii="Book Antiqua" w:hAnsi="Book Antiqua" w:cstheme="minorHAnsi"/>
                <w:color w:val="auto"/>
                <w:sz w:val="22"/>
                <w:szCs w:val="22"/>
              </w:rPr>
            </w:pPr>
            <w:r w:rsidRPr="00E65649">
              <w:rPr>
                <w:rFonts w:ascii="Book Antiqua" w:hAnsi="Book Antiqua" w:cstheme="minorHAnsi"/>
                <w:color w:val="auto"/>
                <w:sz w:val="22"/>
                <w:szCs w:val="22"/>
              </w:rPr>
              <w:t>Broking</w:t>
            </w:r>
            <w:r w:rsidR="00AB1142" w:rsidRPr="00E65649">
              <w:rPr>
                <w:rFonts w:ascii="Book Antiqua" w:hAnsi="Book Antiqua" w:cstheme="minorHAnsi"/>
                <w:color w:val="auto"/>
                <w:sz w:val="22"/>
                <w:szCs w:val="22"/>
              </w:rPr>
              <w:t xml:space="preserve"> operations</w:t>
            </w:r>
          </w:p>
        </w:tc>
      </w:tr>
    </w:tbl>
    <w:p w:rsidR="00D5615F" w:rsidRPr="00E65649" w:rsidRDefault="00D5615F" w:rsidP="00D5615F">
      <w:pPr>
        <w:pStyle w:val="Title"/>
        <w:pBdr>
          <w:bottom w:val="single" w:sz="8" w:space="0" w:color="4F81BD"/>
        </w:pBdr>
        <w:rPr>
          <w:rFonts w:ascii="Book Antiqua" w:hAnsi="Book Antiqua" w:cstheme="minorHAnsi"/>
          <w:color w:val="auto"/>
          <w:sz w:val="22"/>
          <w:szCs w:val="22"/>
        </w:rPr>
      </w:pPr>
    </w:p>
    <w:p w:rsidR="001F5612" w:rsidRPr="00E65649" w:rsidRDefault="001F5612" w:rsidP="00D5615F">
      <w:pPr>
        <w:pStyle w:val="Title"/>
        <w:pBdr>
          <w:bottom w:val="single" w:sz="8" w:space="0" w:color="4F81BD"/>
        </w:pBdr>
        <w:rPr>
          <w:rFonts w:ascii="Book Antiqua" w:hAnsi="Book Antiqua"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0"/>
        <w:gridCol w:w="1440"/>
        <w:gridCol w:w="1353"/>
        <w:gridCol w:w="1616"/>
        <w:gridCol w:w="1350"/>
        <w:gridCol w:w="1666"/>
      </w:tblGrid>
      <w:tr w:rsidR="00E65649" w:rsidRPr="00E65649" w:rsidTr="00E52B80">
        <w:trPr>
          <w:jc w:val="center"/>
        </w:trPr>
        <w:tc>
          <w:tcPr>
            <w:tcW w:w="984"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Authorization</w:t>
            </w:r>
          </w:p>
        </w:tc>
        <w:tc>
          <w:tcPr>
            <w:tcW w:w="779"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Document Owner</w:t>
            </w:r>
          </w:p>
        </w:tc>
        <w:tc>
          <w:tcPr>
            <w:tcW w:w="732"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Drafted by</w:t>
            </w:r>
          </w:p>
        </w:tc>
        <w:tc>
          <w:tcPr>
            <w:tcW w:w="874"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Last Reviewed On</w:t>
            </w:r>
          </w:p>
        </w:tc>
        <w:tc>
          <w:tcPr>
            <w:tcW w:w="730"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Reviewed  by</w:t>
            </w:r>
          </w:p>
        </w:tc>
        <w:tc>
          <w:tcPr>
            <w:tcW w:w="902" w:type="pct"/>
            <w:shd w:val="clear" w:color="auto" w:fill="C0C0C0"/>
          </w:tcPr>
          <w:p w:rsidR="00D5615F" w:rsidRPr="00E65649" w:rsidRDefault="00D5615F" w:rsidP="00E52B80">
            <w:pPr>
              <w:pStyle w:val="StyleTableHeaderArialLinespacing15lines"/>
              <w:pBdr>
                <w:top w:val="none" w:sz="0" w:space="0" w:color="auto"/>
                <w:left w:val="none" w:sz="0" w:space="0" w:color="auto"/>
                <w:bottom w:val="none" w:sz="0" w:space="0" w:color="auto"/>
                <w:right w:val="none" w:sz="0" w:space="0" w:color="auto"/>
              </w:pBdr>
              <w:spacing w:after="0" w:line="240" w:lineRule="auto"/>
              <w:rPr>
                <w:rFonts w:ascii="Book Antiqua" w:hAnsi="Book Antiqua" w:cstheme="minorHAnsi"/>
                <w:b/>
                <w:color w:val="auto"/>
                <w:sz w:val="22"/>
                <w:szCs w:val="22"/>
              </w:rPr>
            </w:pPr>
            <w:r w:rsidRPr="00E65649">
              <w:rPr>
                <w:rFonts w:ascii="Book Antiqua" w:hAnsi="Book Antiqua" w:cstheme="minorHAnsi"/>
                <w:b/>
                <w:color w:val="auto"/>
                <w:sz w:val="22"/>
                <w:szCs w:val="22"/>
              </w:rPr>
              <w:t>Authorized by</w:t>
            </w:r>
          </w:p>
        </w:tc>
      </w:tr>
      <w:tr w:rsidR="00E65649" w:rsidRPr="00E65649" w:rsidTr="00E52B80">
        <w:trPr>
          <w:jc w:val="center"/>
        </w:trPr>
        <w:tc>
          <w:tcPr>
            <w:tcW w:w="984" w:type="pct"/>
          </w:tcPr>
          <w:p w:rsidR="00D5615F" w:rsidRPr="00E65649" w:rsidRDefault="00D5615F" w:rsidP="00E52B80">
            <w:pPr>
              <w:jc w:val="center"/>
              <w:rPr>
                <w:rFonts w:ascii="Book Antiqua" w:hAnsi="Book Antiqua" w:cstheme="minorHAnsi"/>
              </w:rPr>
            </w:pPr>
          </w:p>
          <w:p w:rsidR="00D5615F" w:rsidRPr="00E65649" w:rsidRDefault="00D5615F" w:rsidP="00E52B80">
            <w:pPr>
              <w:jc w:val="center"/>
              <w:rPr>
                <w:rFonts w:ascii="Book Antiqua" w:hAnsi="Book Antiqua" w:cstheme="minorHAnsi"/>
              </w:rPr>
            </w:pPr>
            <w:r w:rsidRPr="00E65649">
              <w:rPr>
                <w:rFonts w:ascii="Book Antiqua" w:hAnsi="Book Antiqua" w:cstheme="minorHAnsi"/>
              </w:rPr>
              <w:t>Name</w:t>
            </w:r>
          </w:p>
        </w:tc>
        <w:tc>
          <w:tcPr>
            <w:tcW w:w="779" w:type="pct"/>
            <w:vAlign w:val="center"/>
          </w:tcPr>
          <w:p w:rsidR="00D5615F" w:rsidRPr="00E65649" w:rsidRDefault="000E4C80" w:rsidP="00E52B80">
            <w:pPr>
              <w:jc w:val="center"/>
              <w:rPr>
                <w:rFonts w:ascii="Book Antiqua" w:hAnsi="Book Antiqua" w:cstheme="minorHAnsi"/>
              </w:rPr>
            </w:pPr>
            <w:r>
              <w:rPr>
                <w:rFonts w:ascii="Book Antiqua" w:hAnsi="Book Antiqua" w:cstheme="minorHAnsi"/>
              </w:rPr>
              <w:t>SPS Share Brokers Private Limited</w:t>
            </w:r>
          </w:p>
        </w:tc>
        <w:tc>
          <w:tcPr>
            <w:tcW w:w="732" w:type="pct"/>
          </w:tcPr>
          <w:p w:rsidR="00D5615F" w:rsidRPr="00E65649" w:rsidRDefault="00680789" w:rsidP="00E52B80">
            <w:pPr>
              <w:jc w:val="center"/>
              <w:rPr>
                <w:rFonts w:ascii="Book Antiqua" w:hAnsi="Book Antiqua" w:cstheme="minorHAnsi"/>
              </w:rPr>
            </w:pPr>
            <w:r>
              <w:rPr>
                <w:rFonts w:ascii="Book Antiqua" w:hAnsi="Book Antiqua" w:cstheme="minorHAnsi"/>
              </w:rPr>
              <w:t xml:space="preserve">Mr. Pratik Shah </w:t>
            </w:r>
          </w:p>
        </w:tc>
        <w:tc>
          <w:tcPr>
            <w:tcW w:w="874" w:type="pct"/>
          </w:tcPr>
          <w:p w:rsidR="00D5615F" w:rsidRPr="00E65649" w:rsidRDefault="00D5615F" w:rsidP="00E52B80">
            <w:pPr>
              <w:jc w:val="center"/>
              <w:rPr>
                <w:rFonts w:ascii="Book Antiqua" w:hAnsi="Book Antiqua" w:cstheme="minorHAnsi"/>
              </w:rPr>
            </w:pPr>
          </w:p>
          <w:p w:rsidR="00D5615F" w:rsidRPr="00E65649" w:rsidRDefault="00680789" w:rsidP="00C67E6C">
            <w:pPr>
              <w:jc w:val="center"/>
              <w:rPr>
                <w:rFonts w:ascii="Book Antiqua" w:hAnsi="Book Antiqua" w:cstheme="minorHAnsi"/>
              </w:rPr>
            </w:pPr>
            <w:r>
              <w:rPr>
                <w:rFonts w:ascii="Book Antiqua" w:hAnsi="Book Antiqua" w:cstheme="minorHAnsi"/>
              </w:rPr>
              <w:t>0</w:t>
            </w:r>
            <w:r w:rsidR="00CB3B17">
              <w:rPr>
                <w:rFonts w:ascii="Book Antiqua" w:hAnsi="Book Antiqua" w:cstheme="minorHAnsi"/>
              </w:rPr>
              <w:t>1</w:t>
            </w:r>
            <w:r w:rsidR="00D5615F" w:rsidRPr="00E65649">
              <w:rPr>
                <w:rFonts w:ascii="Book Antiqua" w:hAnsi="Book Antiqua" w:cstheme="minorHAnsi"/>
              </w:rPr>
              <w:t>-</w:t>
            </w:r>
            <w:r>
              <w:rPr>
                <w:rFonts w:ascii="Book Antiqua" w:hAnsi="Book Antiqua" w:cstheme="minorHAnsi"/>
              </w:rPr>
              <w:t>0</w:t>
            </w:r>
            <w:r w:rsidR="00C67E6C">
              <w:rPr>
                <w:rFonts w:ascii="Book Antiqua" w:hAnsi="Book Antiqua" w:cstheme="minorHAnsi"/>
              </w:rPr>
              <w:t>6</w:t>
            </w:r>
            <w:r w:rsidR="00D5615F" w:rsidRPr="00E65649">
              <w:rPr>
                <w:rFonts w:ascii="Book Antiqua" w:hAnsi="Book Antiqua" w:cstheme="minorHAnsi"/>
              </w:rPr>
              <w:t>-</w:t>
            </w:r>
            <w:r>
              <w:rPr>
                <w:rFonts w:ascii="Book Antiqua" w:hAnsi="Book Antiqua" w:cstheme="minorHAnsi"/>
              </w:rPr>
              <w:t>202</w:t>
            </w:r>
            <w:r w:rsidR="00C67E6C">
              <w:rPr>
                <w:rFonts w:ascii="Book Antiqua" w:hAnsi="Book Antiqua" w:cstheme="minorHAnsi"/>
              </w:rPr>
              <w:t>5</w:t>
            </w:r>
          </w:p>
        </w:tc>
        <w:tc>
          <w:tcPr>
            <w:tcW w:w="730" w:type="pct"/>
          </w:tcPr>
          <w:p w:rsidR="00D5615F" w:rsidRPr="00E65649" w:rsidRDefault="00D5615F" w:rsidP="00E52B80">
            <w:pPr>
              <w:jc w:val="center"/>
              <w:rPr>
                <w:rFonts w:ascii="Book Antiqua" w:hAnsi="Book Antiqua" w:cstheme="minorHAnsi"/>
              </w:rPr>
            </w:pPr>
          </w:p>
          <w:p w:rsidR="00D5615F" w:rsidRPr="00E65649" w:rsidRDefault="00D5615F" w:rsidP="00680789">
            <w:pPr>
              <w:jc w:val="center"/>
              <w:rPr>
                <w:rFonts w:ascii="Book Antiqua" w:hAnsi="Book Antiqua" w:cstheme="minorHAnsi"/>
              </w:rPr>
            </w:pPr>
            <w:r w:rsidRPr="00E65649">
              <w:rPr>
                <w:rFonts w:ascii="Book Antiqua" w:hAnsi="Book Antiqua" w:cstheme="minorHAnsi"/>
              </w:rPr>
              <w:t xml:space="preserve">Mr. </w:t>
            </w:r>
            <w:r w:rsidR="00680789">
              <w:rPr>
                <w:rFonts w:ascii="Book Antiqua" w:hAnsi="Book Antiqua" w:cstheme="minorHAnsi"/>
              </w:rPr>
              <w:t>Manish Dave</w:t>
            </w:r>
          </w:p>
        </w:tc>
        <w:tc>
          <w:tcPr>
            <w:tcW w:w="902" w:type="pct"/>
          </w:tcPr>
          <w:p w:rsidR="00D5615F" w:rsidRPr="00E65649" w:rsidRDefault="00D5615F" w:rsidP="00E52B80">
            <w:pPr>
              <w:jc w:val="center"/>
              <w:rPr>
                <w:rFonts w:ascii="Book Antiqua" w:hAnsi="Book Antiqua" w:cstheme="minorHAnsi"/>
              </w:rPr>
            </w:pPr>
          </w:p>
          <w:p w:rsidR="00D5615F" w:rsidRPr="00E65649" w:rsidRDefault="00D5615F" w:rsidP="00680789">
            <w:pPr>
              <w:jc w:val="center"/>
              <w:rPr>
                <w:rFonts w:ascii="Book Antiqua" w:hAnsi="Book Antiqua" w:cstheme="minorHAnsi"/>
              </w:rPr>
            </w:pPr>
            <w:r w:rsidRPr="00E65649">
              <w:rPr>
                <w:rFonts w:ascii="Book Antiqua" w:hAnsi="Book Antiqua" w:cstheme="minorHAnsi"/>
              </w:rPr>
              <w:t xml:space="preserve">Mr. </w:t>
            </w:r>
            <w:r w:rsidR="00680789">
              <w:rPr>
                <w:rFonts w:ascii="Book Antiqua" w:hAnsi="Book Antiqua" w:cstheme="minorHAnsi"/>
              </w:rPr>
              <w:t xml:space="preserve">Sandeep Shah  </w:t>
            </w:r>
          </w:p>
        </w:tc>
      </w:tr>
      <w:tr w:rsidR="00D5615F" w:rsidRPr="00E65649" w:rsidTr="00E52B80">
        <w:trPr>
          <w:jc w:val="center"/>
        </w:trPr>
        <w:tc>
          <w:tcPr>
            <w:tcW w:w="984" w:type="pct"/>
          </w:tcPr>
          <w:p w:rsidR="00D5615F" w:rsidRPr="00E65649" w:rsidRDefault="00D5615F" w:rsidP="00E52B80">
            <w:pPr>
              <w:jc w:val="center"/>
              <w:rPr>
                <w:rFonts w:ascii="Book Antiqua" w:hAnsi="Book Antiqua" w:cstheme="minorHAnsi"/>
              </w:rPr>
            </w:pPr>
          </w:p>
          <w:p w:rsidR="00D5615F" w:rsidRPr="00E65649" w:rsidRDefault="00D5615F" w:rsidP="00E52B80">
            <w:pPr>
              <w:jc w:val="center"/>
              <w:rPr>
                <w:rFonts w:ascii="Book Antiqua" w:hAnsi="Book Antiqua" w:cstheme="minorHAnsi"/>
              </w:rPr>
            </w:pPr>
            <w:r w:rsidRPr="00E65649">
              <w:rPr>
                <w:rFonts w:ascii="Book Antiqua" w:hAnsi="Book Antiqua" w:cstheme="minorHAnsi"/>
              </w:rPr>
              <w:t>Signature</w:t>
            </w:r>
          </w:p>
          <w:p w:rsidR="00D5615F" w:rsidRPr="00E65649" w:rsidRDefault="00D5615F" w:rsidP="00E52B80">
            <w:pPr>
              <w:jc w:val="center"/>
              <w:rPr>
                <w:rFonts w:ascii="Book Antiqua" w:hAnsi="Book Antiqua" w:cstheme="minorHAnsi"/>
              </w:rPr>
            </w:pPr>
          </w:p>
        </w:tc>
        <w:tc>
          <w:tcPr>
            <w:tcW w:w="779" w:type="pct"/>
          </w:tcPr>
          <w:p w:rsidR="00D5615F" w:rsidRPr="00E65649" w:rsidRDefault="00D5615F" w:rsidP="00E52B80">
            <w:pPr>
              <w:spacing w:before="100" w:beforeAutospacing="1"/>
              <w:jc w:val="both"/>
              <w:rPr>
                <w:rFonts w:ascii="Book Antiqua" w:hAnsi="Book Antiqua" w:cstheme="minorHAnsi"/>
              </w:rPr>
            </w:pPr>
          </w:p>
        </w:tc>
        <w:tc>
          <w:tcPr>
            <w:tcW w:w="732" w:type="pct"/>
          </w:tcPr>
          <w:p w:rsidR="00D5615F" w:rsidRPr="00E65649" w:rsidRDefault="00D5615F" w:rsidP="00E52B80">
            <w:pPr>
              <w:jc w:val="center"/>
              <w:rPr>
                <w:rFonts w:ascii="Book Antiqua" w:hAnsi="Book Antiqua" w:cstheme="minorHAnsi"/>
              </w:rPr>
            </w:pPr>
          </w:p>
        </w:tc>
        <w:tc>
          <w:tcPr>
            <w:tcW w:w="874" w:type="pct"/>
          </w:tcPr>
          <w:p w:rsidR="00D5615F" w:rsidRPr="00E65649" w:rsidRDefault="00D5615F" w:rsidP="00E52B80">
            <w:pPr>
              <w:jc w:val="center"/>
              <w:rPr>
                <w:rFonts w:ascii="Book Antiqua" w:hAnsi="Book Antiqua" w:cstheme="minorHAnsi"/>
              </w:rPr>
            </w:pPr>
          </w:p>
        </w:tc>
        <w:tc>
          <w:tcPr>
            <w:tcW w:w="730" w:type="pct"/>
          </w:tcPr>
          <w:p w:rsidR="00D5615F" w:rsidRPr="00E65649" w:rsidRDefault="00D5615F" w:rsidP="00E52B80">
            <w:pPr>
              <w:jc w:val="center"/>
              <w:rPr>
                <w:rFonts w:ascii="Book Antiqua" w:hAnsi="Book Antiqua" w:cstheme="minorHAnsi"/>
              </w:rPr>
            </w:pPr>
          </w:p>
        </w:tc>
        <w:tc>
          <w:tcPr>
            <w:tcW w:w="902" w:type="pct"/>
          </w:tcPr>
          <w:p w:rsidR="00D5615F" w:rsidRPr="00E65649" w:rsidRDefault="00D5615F" w:rsidP="00E52B80">
            <w:pPr>
              <w:jc w:val="center"/>
              <w:rPr>
                <w:rFonts w:ascii="Book Antiqua" w:hAnsi="Book Antiqua" w:cstheme="minorHAnsi"/>
              </w:rPr>
            </w:pPr>
          </w:p>
        </w:tc>
      </w:tr>
    </w:tbl>
    <w:p w:rsidR="00D5615F" w:rsidRPr="00E65649" w:rsidRDefault="00D5615F" w:rsidP="00D5615F">
      <w:pPr>
        <w:rPr>
          <w:rFonts w:ascii="Book Antiqua" w:hAnsi="Book Antiqua" w:cstheme="minorHAnsi"/>
        </w:rPr>
      </w:pPr>
    </w:p>
    <w:p w:rsidR="00D5615F" w:rsidRPr="00E65649" w:rsidRDefault="00D5615F" w:rsidP="00D5615F">
      <w:pP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4"/>
        <w:gridCol w:w="6031"/>
      </w:tblGrid>
      <w:tr w:rsidR="00E65649" w:rsidRPr="00E65649" w:rsidTr="00E52B80">
        <w:trPr>
          <w:jc w:val="center"/>
        </w:trPr>
        <w:tc>
          <w:tcPr>
            <w:tcW w:w="1738"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Classification</w:t>
            </w:r>
          </w:p>
        </w:tc>
        <w:tc>
          <w:tcPr>
            <w:tcW w:w="3262" w:type="pct"/>
            <w:shd w:val="clear" w:color="auto" w:fill="C0C0C0"/>
          </w:tcPr>
          <w:p w:rsidR="00D5615F" w:rsidRPr="00E65649" w:rsidRDefault="00D5615F" w:rsidP="00E52B80">
            <w:pPr>
              <w:jc w:val="center"/>
              <w:rPr>
                <w:rFonts w:ascii="Book Antiqua" w:hAnsi="Book Antiqua" w:cstheme="minorHAnsi"/>
                <w:b/>
              </w:rPr>
            </w:pPr>
            <w:r w:rsidRPr="00E65649">
              <w:rPr>
                <w:rFonts w:ascii="Book Antiqua" w:hAnsi="Book Antiqua" w:cstheme="minorHAnsi"/>
                <w:b/>
              </w:rPr>
              <w:t>Distribution List</w:t>
            </w:r>
          </w:p>
        </w:tc>
      </w:tr>
      <w:tr w:rsidR="00D5615F" w:rsidRPr="00E65649" w:rsidTr="00E52B80">
        <w:trPr>
          <w:trHeight w:val="1142"/>
          <w:jc w:val="center"/>
        </w:trPr>
        <w:tc>
          <w:tcPr>
            <w:tcW w:w="1738" w:type="pct"/>
          </w:tcPr>
          <w:p w:rsidR="00D5615F" w:rsidRPr="00E65649" w:rsidRDefault="00D5615F" w:rsidP="00E52B80">
            <w:pPr>
              <w:spacing w:before="100" w:beforeAutospacing="1"/>
              <w:jc w:val="center"/>
              <w:rPr>
                <w:rFonts w:ascii="Book Antiqua" w:hAnsi="Book Antiqua" w:cstheme="minorHAnsi"/>
              </w:rPr>
            </w:pPr>
            <w:r w:rsidRPr="00E65649">
              <w:rPr>
                <w:rFonts w:ascii="Book Antiqua" w:hAnsi="Book Antiqua" w:cstheme="minorHAnsi"/>
              </w:rPr>
              <w:t>Official Use Only</w:t>
            </w:r>
          </w:p>
        </w:tc>
        <w:tc>
          <w:tcPr>
            <w:tcW w:w="3262" w:type="pct"/>
          </w:tcPr>
          <w:p w:rsidR="00D5615F" w:rsidRPr="00E65649" w:rsidRDefault="00D5615F" w:rsidP="00E52B80">
            <w:pPr>
              <w:jc w:val="center"/>
              <w:rPr>
                <w:rFonts w:ascii="Book Antiqua" w:hAnsi="Book Antiqua" w:cstheme="minorHAnsi"/>
              </w:rPr>
            </w:pPr>
            <w:r w:rsidRPr="00E65649">
              <w:rPr>
                <w:rFonts w:ascii="Book Antiqua" w:hAnsi="Book Antiqua" w:cstheme="minorHAnsi"/>
              </w:rPr>
              <w:t>Employees of the Company / Branch Heads</w:t>
            </w:r>
          </w:p>
          <w:p w:rsidR="00D5615F" w:rsidRPr="00E65649" w:rsidRDefault="00D5615F" w:rsidP="00E52B80">
            <w:pPr>
              <w:jc w:val="center"/>
              <w:rPr>
                <w:rFonts w:ascii="Book Antiqua" w:hAnsi="Book Antiqua" w:cstheme="minorHAnsi"/>
              </w:rPr>
            </w:pPr>
          </w:p>
        </w:tc>
      </w:tr>
    </w:tbl>
    <w:p w:rsidR="00D5615F" w:rsidRPr="00E65649" w:rsidRDefault="00D5615F" w:rsidP="00D5615F">
      <w:pPr>
        <w:rPr>
          <w:rFonts w:ascii="Book Antiqua" w:hAnsi="Book Antiqua" w:cstheme="minorHAnsi"/>
        </w:rPr>
      </w:pPr>
    </w:p>
    <w:p w:rsidR="00D5615F" w:rsidRPr="00E65649" w:rsidRDefault="00D5615F" w:rsidP="00D5615F">
      <w:pPr>
        <w:pStyle w:val="NormalWeb"/>
        <w:spacing w:after="0" w:afterAutospacing="0" w:line="240" w:lineRule="auto"/>
        <w:ind w:left="0" w:right="0"/>
        <w:jc w:val="both"/>
        <w:rPr>
          <w:rFonts w:ascii="Book Antiqua" w:hAnsi="Book Antiqua" w:cstheme="minorHAnsi"/>
          <w:color w:val="auto"/>
          <w:sz w:val="22"/>
          <w:szCs w:val="22"/>
        </w:rPr>
      </w:pPr>
      <w:r w:rsidRPr="00E65649">
        <w:rPr>
          <w:rFonts w:ascii="Book Antiqua" w:hAnsi="Book Antiqua" w:cstheme="minorHAnsi"/>
          <w:color w:val="auto"/>
          <w:sz w:val="22"/>
          <w:szCs w:val="22"/>
        </w:rPr>
        <w:t xml:space="preserve">All queries, suggestions and changes required may be </w:t>
      </w:r>
      <w:r w:rsidR="00BA0B9F" w:rsidRPr="00E65649">
        <w:rPr>
          <w:rFonts w:ascii="Book Antiqua" w:hAnsi="Book Antiqua" w:cstheme="minorHAnsi"/>
          <w:color w:val="auto"/>
          <w:sz w:val="22"/>
          <w:szCs w:val="22"/>
        </w:rPr>
        <w:t xml:space="preserve">informed </w:t>
      </w:r>
      <w:r w:rsidRPr="00E65649">
        <w:rPr>
          <w:rFonts w:ascii="Book Antiqua" w:hAnsi="Book Antiqua" w:cstheme="minorHAnsi"/>
          <w:color w:val="auto"/>
          <w:sz w:val="22"/>
          <w:szCs w:val="22"/>
        </w:rPr>
        <w:t>to</w:t>
      </w:r>
      <w:r w:rsidR="00680789">
        <w:rPr>
          <w:rFonts w:ascii="Book Antiqua" w:hAnsi="Book Antiqua" w:cstheme="minorHAnsi"/>
          <w:color w:val="auto"/>
          <w:sz w:val="22"/>
          <w:szCs w:val="22"/>
        </w:rPr>
        <w:t xml:space="preserve"> </w:t>
      </w:r>
      <w:r w:rsidR="00BA0B9F" w:rsidRPr="00E65649">
        <w:rPr>
          <w:rFonts w:ascii="Book Antiqua" w:hAnsi="Book Antiqua" w:cstheme="minorHAnsi"/>
          <w:color w:val="auto"/>
          <w:sz w:val="22"/>
          <w:szCs w:val="22"/>
        </w:rPr>
        <w:t xml:space="preserve">the Compliance </w:t>
      </w:r>
      <w:r w:rsidRPr="00E65649">
        <w:rPr>
          <w:rFonts w:ascii="Book Antiqua" w:hAnsi="Book Antiqua" w:cstheme="minorHAnsi"/>
          <w:color w:val="auto"/>
          <w:sz w:val="22"/>
          <w:szCs w:val="22"/>
        </w:rPr>
        <w:t>Officer.</w:t>
      </w:r>
    </w:p>
    <w:p w:rsidR="00D5615F" w:rsidRPr="00E65649" w:rsidRDefault="008E61E6" w:rsidP="00D5615F">
      <w:pPr>
        <w:spacing w:after="0" w:line="240" w:lineRule="auto"/>
        <w:rPr>
          <w:rStyle w:val="Emphasis"/>
          <w:rFonts w:ascii="Book Antiqua" w:eastAsia="Times New Roman" w:hAnsi="Book Antiqua" w:cstheme="minorHAnsi"/>
          <w:b/>
          <w:bCs/>
        </w:rPr>
      </w:pPr>
      <w:r w:rsidRPr="008E61E6">
        <w:rPr>
          <w:rFonts w:ascii="Book Antiqua" w:hAnsi="Book Antiqua" w:cstheme="minorHAnsi"/>
          <w:noProof/>
        </w:rPr>
        <w:pict>
          <v:shapetype id="_x0000_t202" coordsize="21600,21600" o:spt="202" path="m,l,21600r21600,l21600,xe">
            <v:stroke joinstyle="miter"/>
            <v:path gradientshapeok="t" o:connecttype="rect"/>
          </v:shapetype>
          <v:shape id="_x0000_s1034" type="#_x0000_t202" style="position:absolute;margin-left:2.25pt;margin-top:7.65pt;width:459.75pt;height:75.4pt;z-index:251665408">
            <v:textbox style="mso-next-textbox:#_x0000_s1034">
              <w:txbxContent>
                <w:p w:rsidR="00D5615F" w:rsidRDefault="00D5615F" w:rsidP="00D5615F">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00680789" w:rsidRPr="00680789">
                    <w:rPr>
                      <w:rFonts w:ascii="Arial" w:hAnsi="Arial" w:cs="Arial"/>
                      <w:b/>
                      <w:bCs/>
                      <w:sz w:val="20"/>
                      <w:szCs w:val="20"/>
                      <w:lang w:bidi="hi-IN"/>
                    </w:rPr>
                    <w:t>SPS Share Brokers Private Limited</w:t>
                  </w:r>
                  <w:r w:rsidR="00680789">
                    <w:rPr>
                      <w:rFonts w:ascii="Arial" w:hAnsi="Arial" w:cs="Arial"/>
                      <w:bCs/>
                      <w:sz w:val="20"/>
                      <w:szCs w:val="20"/>
                      <w:lang w:bidi="hi-IN"/>
                    </w:rPr>
                    <w:t xml:space="preserve"> </w:t>
                  </w:r>
                  <w:r>
                    <w:rPr>
                      <w:rFonts w:ascii="Arial" w:hAnsi="Arial" w:cs="Arial"/>
                      <w:bCs/>
                      <w:sz w:val="20"/>
                      <w:szCs w:val="20"/>
                      <w:lang w:bidi="hi-IN"/>
                    </w:rPr>
                    <w:t>is prohibited and may be unlawful.</w:t>
                  </w:r>
                </w:p>
                <w:p w:rsidR="00D5615F" w:rsidRDefault="00D5615F" w:rsidP="00D5615F"/>
              </w:txbxContent>
            </v:textbox>
          </v:shape>
        </w:pict>
      </w:r>
      <w:r w:rsidR="00D5615F" w:rsidRPr="00E65649">
        <w:rPr>
          <w:rFonts w:ascii="Book Antiqua" w:hAnsi="Book Antiqua" w:cstheme="minorHAnsi"/>
          <w:u w:color="003366"/>
        </w:rPr>
        <w:br w:type="page"/>
      </w:r>
    </w:p>
    <w:p w:rsidR="00C7739E" w:rsidRPr="00E65649" w:rsidRDefault="00206BB8" w:rsidP="00D5615F">
      <w:pPr>
        <w:pStyle w:val="Heading1"/>
        <w:jc w:val="center"/>
        <w:rPr>
          <w:rStyle w:val="Emphasis"/>
          <w:rFonts w:ascii="Book Antiqua" w:hAnsi="Book Antiqua" w:cstheme="minorHAnsi"/>
          <w:color w:val="auto"/>
          <w:sz w:val="22"/>
          <w:szCs w:val="22"/>
        </w:rPr>
      </w:pPr>
      <w:bookmarkStart w:id="9" w:name="_Toc400112767"/>
      <w:bookmarkStart w:id="10" w:name="_Toc168412285"/>
      <w:bookmarkEnd w:id="7"/>
      <w:r w:rsidRPr="00E65649">
        <w:rPr>
          <w:rStyle w:val="Emphasis"/>
          <w:rFonts w:ascii="Book Antiqua" w:hAnsi="Book Antiqua" w:cstheme="minorHAnsi"/>
          <w:color w:val="auto"/>
          <w:sz w:val="22"/>
          <w:szCs w:val="22"/>
        </w:rPr>
        <w:t>Background</w:t>
      </w:r>
      <w:bookmarkEnd w:id="9"/>
      <w:bookmarkEnd w:id="10"/>
    </w:p>
    <w:p w:rsidR="00C7739E" w:rsidRPr="00E65649" w:rsidRDefault="00C7739E" w:rsidP="008156E9">
      <w:pPr>
        <w:jc w:val="both"/>
        <w:rPr>
          <w:rFonts w:ascii="Book Antiqua" w:hAnsi="Book Antiqua" w:cstheme="minorHAnsi"/>
        </w:rPr>
      </w:pPr>
    </w:p>
    <w:p w:rsidR="00C17179" w:rsidRPr="00E65649" w:rsidRDefault="00C17179" w:rsidP="00C17179">
      <w:pPr>
        <w:jc w:val="both"/>
        <w:rPr>
          <w:rFonts w:ascii="Book Antiqua" w:hAnsi="Book Antiqua" w:cstheme="minorHAnsi"/>
        </w:rPr>
      </w:pPr>
      <w:r w:rsidRPr="00E65649">
        <w:rPr>
          <w:rFonts w:ascii="Book Antiqua" w:hAnsi="Book Antiqua" w:cstheme="minorHAnsi"/>
        </w:rPr>
        <w:t>A dynamic risk management policy is an essential feature of our operations and to minimize the risk of loss. These are measures and precautions that are adopted by us to minimize the risk. Any trading in stock market is subject to market risks. Various kind of market risks are communicated to client at the time of account opening through Risk Disclosure Document as prescribed by SEBI.</w:t>
      </w:r>
    </w:p>
    <w:p w:rsidR="00C17179" w:rsidRPr="00E65649" w:rsidRDefault="00C17179" w:rsidP="00C17179">
      <w:pPr>
        <w:jc w:val="both"/>
        <w:rPr>
          <w:rFonts w:ascii="Book Antiqua" w:hAnsi="Book Antiqua" w:cstheme="minorHAnsi"/>
        </w:rPr>
      </w:pPr>
      <w:r w:rsidRPr="00E65649">
        <w:rPr>
          <w:rFonts w:ascii="Book Antiqua" w:hAnsi="Book Antiqua" w:cstheme="minorHAnsi"/>
        </w:rPr>
        <w:t>All our Policies are based on current market scenarios, our risk perceptions of the market and applicable SEBI and Stock Exchange regulations as applicable.</w:t>
      </w:r>
    </w:p>
    <w:p w:rsidR="001739BC" w:rsidRPr="00E65649" w:rsidRDefault="00C17179" w:rsidP="00C17179">
      <w:pPr>
        <w:jc w:val="both"/>
        <w:rPr>
          <w:rFonts w:ascii="Book Antiqua" w:hAnsi="Book Antiqua" w:cstheme="minorHAnsi"/>
        </w:rPr>
      </w:pPr>
      <w:r w:rsidRPr="00E65649">
        <w:rPr>
          <w:rFonts w:ascii="Book Antiqua" w:hAnsi="Book Antiqua" w:cstheme="minorHAnsi"/>
        </w:rPr>
        <w:t>All  these  parameters may change  from  time  to time  based  on  market conditions,  regulations  and  our decisions based on internal policies and practices</w:t>
      </w:r>
      <w:r w:rsidR="0067652B" w:rsidRPr="00E65649">
        <w:rPr>
          <w:rFonts w:ascii="Book Antiqua" w:hAnsi="Book Antiqua" w:cstheme="minorHAnsi"/>
        </w:rPr>
        <w:t>.</w:t>
      </w:r>
    </w:p>
    <w:p w:rsidR="00157A96" w:rsidRPr="00E65649" w:rsidRDefault="00492E86" w:rsidP="00C17179">
      <w:pPr>
        <w:jc w:val="both"/>
        <w:rPr>
          <w:rFonts w:ascii="Book Antiqua" w:hAnsi="Book Antiqua" w:cstheme="minorHAnsi"/>
        </w:rPr>
      </w:pPr>
      <w:r w:rsidRPr="00E65649">
        <w:rPr>
          <w:rFonts w:ascii="Book Antiqua" w:hAnsi="Book Antiqua" w:cstheme="minorHAnsi"/>
        </w:rPr>
        <w:t xml:space="preserve">For the purpose of this policy, </w:t>
      </w:r>
      <w:r w:rsidR="00C81A35" w:rsidRPr="00E65649">
        <w:rPr>
          <w:rFonts w:ascii="Book Antiqua" w:hAnsi="Book Antiqua" w:cstheme="minorHAnsi"/>
        </w:rPr>
        <w:t>&lt;</w:t>
      </w:r>
      <w:r w:rsidR="001A3C2B" w:rsidRPr="00E65649">
        <w:rPr>
          <w:rFonts w:ascii="Book Antiqua" w:hAnsi="Book Antiqua" w:cstheme="minorHAnsi"/>
        </w:rPr>
        <w:t>Stock broker</w:t>
      </w:r>
      <w:r w:rsidR="00C81A35" w:rsidRPr="00E65649">
        <w:rPr>
          <w:rFonts w:ascii="Book Antiqua" w:hAnsi="Book Antiqua" w:cstheme="minorHAnsi"/>
        </w:rPr>
        <w:t xml:space="preserve"> name&gt;</w:t>
      </w:r>
      <w:r w:rsidRPr="00E65649">
        <w:rPr>
          <w:rFonts w:ascii="Book Antiqua" w:hAnsi="Book Antiqua" w:cstheme="minorHAnsi"/>
        </w:rPr>
        <w:t>shall be referred as</w:t>
      </w:r>
      <w:r w:rsidR="002A3852" w:rsidRPr="00E65649">
        <w:rPr>
          <w:rFonts w:ascii="Book Antiqua" w:hAnsi="Book Antiqua" w:cstheme="minorHAnsi"/>
        </w:rPr>
        <w:t>Trading member or TM</w:t>
      </w:r>
      <w:r w:rsidRPr="00E65649">
        <w:rPr>
          <w:rFonts w:ascii="Book Antiqua" w:hAnsi="Book Antiqua" w:cstheme="minorHAnsi"/>
        </w:rPr>
        <w:t>.</w:t>
      </w:r>
    </w:p>
    <w:p w:rsidR="00AB4343" w:rsidRPr="00E65649" w:rsidRDefault="00AB4343">
      <w:pPr>
        <w:spacing w:after="0" w:line="240" w:lineRule="auto"/>
        <w:rPr>
          <w:rStyle w:val="Emphasis"/>
          <w:rFonts w:ascii="Book Antiqua" w:eastAsia="Times New Roman" w:hAnsi="Book Antiqua"/>
          <w:b/>
          <w:bCs/>
        </w:rPr>
      </w:pPr>
      <w:r w:rsidRPr="00E65649">
        <w:rPr>
          <w:rStyle w:val="Emphasis"/>
          <w:rFonts w:ascii="Book Antiqua" w:hAnsi="Book Antiqua"/>
        </w:rPr>
        <w:br w:type="page"/>
      </w:r>
    </w:p>
    <w:p w:rsidR="0067652B" w:rsidRPr="00E65649" w:rsidRDefault="00CA32EA" w:rsidP="00D5615F">
      <w:pPr>
        <w:pStyle w:val="Heading1"/>
        <w:jc w:val="center"/>
        <w:rPr>
          <w:rStyle w:val="Emphasis"/>
          <w:rFonts w:ascii="Book Antiqua" w:hAnsi="Book Antiqua"/>
          <w:color w:val="auto"/>
          <w:sz w:val="26"/>
          <w:szCs w:val="26"/>
        </w:rPr>
      </w:pPr>
      <w:bookmarkStart w:id="11" w:name="_Toc168412286"/>
      <w:r w:rsidRPr="00E65649">
        <w:rPr>
          <w:rStyle w:val="Emphasis"/>
          <w:rFonts w:ascii="Book Antiqua" w:hAnsi="Book Antiqua"/>
          <w:color w:val="auto"/>
          <w:sz w:val="26"/>
          <w:szCs w:val="26"/>
        </w:rPr>
        <w:t>Policy</w:t>
      </w:r>
      <w:bookmarkEnd w:id="11"/>
    </w:p>
    <w:p w:rsidR="003F4731" w:rsidRPr="00E65649" w:rsidRDefault="003F4731" w:rsidP="003F4731">
      <w:pPr>
        <w:pStyle w:val="BodyText"/>
      </w:pPr>
    </w:p>
    <w:p w:rsidR="00987276" w:rsidRPr="00E65649" w:rsidRDefault="004E3001" w:rsidP="007A3091">
      <w:pPr>
        <w:pStyle w:val="BodyText"/>
        <w:numPr>
          <w:ilvl w:val="0"/>
          <w:numId w:val="1"/>
        </w:numPr>
        <w:ind w:left="360"/>
        <w:jc w:val="both"/>
        <w:outlineLvl w:val="1"/>
        <w:rPr>
          <w:rFonts w:ascii="Book Antiqua" w:hAnsi="Book Antiqua"/>
          <w:b/>
        </w:rPr>
      </w:pPr>
      <w:bookmarkStart w:id="12" w:name="_Toc168412287"/>
      <w:r w:rsidRPr="00E65649">
        <w:rPr>
          <w:rFonts w:ascii="Book Antiqua" w:hAnsi="Book Antiqua"/>
          <w:b/>
        </w:rPr>
        <w:t>Margin collection in Cash, Equity &amp; Currency Derivative segments</w:t>
      </w:r>
      <w:bookmarkEnd w:id="12"/>
    </w:p>
    <w:p w:rsidR="004E3001" w:rsidRPr="00E65649" w:rsidRDefault="004E3001" w:rsidP="0093792D">
      <w:pPr>
        <w:pStyle w:val="ListParagraph"/>
        <w:numPr>
          <w:ilvl w:val="0"/>
          <w:numId w:val="4"/>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Total Margin levied by </w:t>
      </w:r>
      <w:r w:rsidR="00366FB0" w:rsidRPr="00E65649">
        <w:rPr>
          <w:rFonts w:ascii="Book Antiqua" w:eastAsia="Times New Roman" w:hAnsi="Book Antiqua"/>
          <w:sz w:val="24"/>
          <w:szCs w:val="24"/>
          <w:lang w:eastAsia="en-IN"/>
        </w:rPr>
        <w:t>the E</w:t>
      </w:r>
      <w:r w:rsidRPr="00E65649">
        <w:rPr>
          <w:rFonts w:ascii="Book Antiqua" w:eastAsia="Times New Roman" w:hAnsi="Book Antiqua"/>
          <w:sz w:val="24"/>
          <w:szCs w:val="24"/>
          <w:lang w:eastAsia="en-IN"/>
        </w:rPr>
        <w:t>xchange is to be given on upfront basis by Client in any segment.</w:t>
      </w:r>
    </w:p>
    <w:p w:rsidR="00A25077" w:rsidRPr="00E65649" w:rsidRDefault="004E3001" w:rsidP="0093792D">
      <w:pPr>
        <w:pStyle w:val="ListParagraph"/>
        <w:numPr>
          <w:ilvl w:val="0"/>
          <w:numId w:val="4"/>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Any additional margins </w:t>
      </w:r>
      <w:r w:rsidR="00121403" w:rsidRPr="00E65649">
        <w:rPr>
          <w:rFonts w:ascii="Book Antiqua" w:eastAsia="Times New Roman" w:hAnsi="Book Antiqua"/>
          <w:sz w:val="24"/>
          <w:szCs w:val="24"/>
          <w:lang w:eastAsia="en-IN"/>
        </w:rPr>
        <w:t xml:space="preserve">including additional margin levied by </w:t>
      </w:r>
      <w:r w:rsidR="00E75196" w:rsidRPr="00E65649">
        <w:rPr>
          <w:rFonts w:ascii="Book Antiqua" w:eastAsia="Times New Roman" w:hAnsi="Book Antiqua"/>
          <w:sz w:val="24"/>
          <w:szCs w:val="24"/>
          <w:lang w:eastAsia="en-IN"/>
        </w:rPr>
        <w:t xml:space="preserve">the </w:t>
      </w:r>
      <w:r w:rsidR="00121403" w:rsidRPr="00E65649">
        <w:rPr>
          <w:rFonts w:ascii="Book Antiqua" w:eastAsia="Times New Roman" w:hAnsi="Book Antiqua"/>
          <w:sz w:val="24"/>
          <w:szCs w:val="24"/>
          <w:lang w:eastAsia="en-IN"/>
        </w:rPr>
        <w:t>Exchange</w:t>
      </w:r>
      <w:r w:rsidR="00E75196" w:rsidRPr="00E65649">
        <w:rPr>
          <w:rFonts w:ascii="Book Antiqua" w:eastAsia="Times New Roman" w:hAnsi="Book Antiqua"/>
          <w:sz w:val="24"/>
          <w:szCs w:val="24"/>
          <w:lang w:eastAsia="en-IN"/>
        </w:rPr>
        <w:t xml:space="preserve">s </w:t>
      </w:r>
      <w:r w:rsidR="00121403" w:rsidRPr="00E65649">
        <w:rPr>
          <w:rFonts w:ascii="Book Antiqua" w:eastAsia="Times New Roman" w:hAnsi="Book Antiqua"/>
          <w:sz w:val="24"/>
          <w:szCs w:val="24"/>
          <w:lang w:eastAsia="en-IN"/>
        </w:rPr>
        <w:t xml:space="preserve">and incremental margin levied by the TM </w:t>
      </w:r>
      <w:r w:rsidRPr="00E65649">
        <w:rPr>
          <w:rFonts w:ascii="Book Antiqua" w:eastAsia="Times New Roman" w:hAnsi="Book Antiqua"/>
          <w:sz w:val="24"/>
          <w:szCs w:val="24"/>
          <w:lang w:eastAsia="en-IN"/>
        </w:rPr>
        <w:t>and/ or Mark to Market Losses are to be settled by client and it will have time to provide such margins only till T+1 working day in Cash, Equity Derivatives and Currency Derivatives segment.</w:t>
      </w:r>
    </w:p>
    <w:p w:rsidR="00052BE1" w:rsidRPr="00E65649" w:rsidRDefault="004E3001" w:rsidP="0093792D">
      <w:pPr>
        <w:pStyle w:val="ListParagraph"/>
        <w:numPr>
          <w:ilvl w:val="0"/>
          <w:numId w:val="4"/>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The period of ‘T+1’ working day has been allowed to client to provide margin taking into account the practical difficulties often faced by the client only for the purpose of levy of penalty and it should not be construed that clients have been allowed 1 day to pay margin due from them. If any client continues to have a debit balance after adjusting the margin deposit for a period exceeding 5 day from the date of settlement, then no fresh trades shall be executed for the client except squaring off the existing positions.</w:t>
      </w:r>
    </w:p>
    <w:p w:rsidR="004E3001" w:rsidRPr="00E65649" w:rsidRDefault="004E3001" w:rsidP="004E3001">
      <w:pPr>
        <w:pStyle w:val="BodyText"/>
        <w:ind w:left="360"/>
        <w:jc w:val="both"/>
      </w:pPr>
    </w:p>
    <w:p w:rsidR="004E3001"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13" w:name="_Toc168412288"/>
      <w:r w:rsidRPr="00E65649">
        <w:rPr>
          <w:rFonts w:ascii="Book Antiqua" w:eastAsia="Times New Roman" w:hAnsi="Book Antiqua"/>
          <w:b/>
          <w:sz w:val="24"/>
          <w:szCs w:val="24"/>
          <w:lang w:eastAsia="en-IN"/>
        </w:rPr>
        <w:t>Setting up of Margin Limit in Cash, F&amp;O &amp; Currency segment</w:t>
      </w:r>
      <w:bookmarkEnd w:id="13"/>
    </w:p>
    <w:p w:rsidR="004E3001" w:rsidRPr="00E65649" w:rsidRDefault="004E3001" w:rsidP="004E3001">
      <w:pPr>
        <w:pStyle w:val="ListParagraph"/>
        <w:shd w:val="clear" w:color="auto" w:fill="FFFFFF"/>
        <w:spacing w:after="225" w:line="240" w:lineRule="auto"/>
        <w:jc w:val="both"/>
        <w:rPr>
          <w:rFonts w:ascii="Book Antiqua" w:eastAsia="Times New Roman" w:hAnsi="Book Antiqua"/>
          <w:b/>
          <w:sz w:val="24"/>
          <w:szCs w:val="24"/>
          <w:lang w:eastAsia="en-IN"/>
        </w:rPr>
      </w:pPr>
    </w:p>
    <w:p w:rsidR="004E3001" w:rsidRPr="00E65649" w:rsidRDefault="004E3001" w:rsidP="004E3001">
      <w:pPr>
        <w:pStyle w:val="ListParagraph"/>
        <w:shd w:val="clear" w:color="auto" w:fill="FFFFFF"/>
        <w:spacing w:after="225" w:line="240" w:lineRule="auto"/>
        <w:jc w:val="both"/>
        <w:rPr>
          <w:rFonts w:ascii="Book Antiqua" w:eastAsia="Times New Roman" w:hAnsi="Book Antiqua"/>
          <w:b/>
          <w:sz w:val="24"/>
          <w:szCs w:val="24"/>
          <w:lang w:eastAsia="en-IN"/>
        </w:rPr>
      </w:pPr>
    </w:p>
    <w:p w:rsidR="00A25077" w:rsidRPr="00E65649" w:rsidRDefault="00A25077"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provides margin limit in F&amp;O and Currency segments based on availability of upfront VaR, Extreme loss margins in Cash Segment and Initial and Exposure margin in Derivatives segments in the client account in the form of ledger balance, cash collateral and non</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 xml:space="preserve">cash collateral. </w:t>
      </w:r>
    </w:p>
    <w:p w:rsidR="00A25077" w:rsidRPr="00E65649" w:rsidRDefault="004E3001"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Value of non</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cash collateral is available only after deducting applicable haircut on the securities pledged as margin. </w:t>
      </w:r>
    </w:p>
    <w:p w:rsidR="00A25077" w:rsidRPr="00E65649" w:rsidRDefault="004E3001"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Credit for sale may be available to client only if the client has a demat account with </w:t>
      </w:r>
      <w:r w:rsidR="00CF630F" w:rsidRPr="00E65649">
        <w:rPr>
          <w:rFonts w:ascii="Book Antiqua" w:eastAsia="Times New Roman" w:hAnsi="Book Antiqua"/>
          <w:sz w:val="24"/>
          <w:szCs w:val="24"/>
          <w:lang w:eastAsia="en-IN"/>
        </w:rPr>
        <w:t>t</w:t>
      </w:r>
      <w:r w:rsidR="00800BFC" w:rsidRPr="00E65649">
        <w:rPr>
          <w:rFonts w:ascii="Book Antiqua" w:eastAsia="Times New Roman" w:hAnsi="Book Antiqua"/>
          <w:sz w:val="24"/>
          <w:szCs w:val="24"/>
          <w:lang w:eastAsia="en-IN"/>
        </w:rPr>
        <w:t xml:space="preserve">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and a Power of Attorney</w:t>
      </w:r>
      <w:r w:rsidR="0072585B" w:rsidRPr="00E65649">
        <w:rPr>
          <w:rFonts w:ascii="Book Antiqua" w:eastAsia="Times New Roman" w:hAnsi="Book Antiqua"/>
          <w:sz w:val="24"/>
          <w:szCs w:val="24"/>
          <w:lang w:eastAsia="en-IN"/>
        </w:rPr>
        <w:t>/DDPI</w:t>
      </w:r>
      <w:r w:rsidRPr="00E65649">
        <w:rPr>
          <w:rFonts w:ascii="Book Antiqua" w:eastAsia="Times New Roman" w:hAnsi="Book Antiqua"/>
          <w:sz w:val="24"/>
          <w:szCs w:val="24"/>
          <w:lang w:eastAsia="en-IN"/>
        </w:rPr>
        <w:t xml:space="preserve"> is executed in favour of </w:t>
      </w:r>
      <w:r w:rsidR="00380F75" w:rsidRPr="00E65649">
        <w:rPr>
          <w:rFonts w:ascii="Book Antiqua" w:eastAsia="Times New Roman" w:hAnsi="Book Antiqua"/>
          <w:sz w:val="24"/>
          <w:szCs w:val="24"/>
          <w:lang w:eastAsia="en-IN"/>
        </w:rPr>
        <w:t>the</w:t>
      </w:r>
      <w:r w:rsidR="00526448">
        <w:rPr>
          <w:rFonts w:ascii="Book Antiqua" w:eastAsia="Times New Roman" w:hAnsi="Book Antiqua"/>
          <w:sz w:val="24"/>
          <w:szCs w:val="24"/>
          <w:lang w:eastAsia="en-IN"/>
        </w:rPr>
        <w:t xml:space="preserv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to effect pay</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in of securities.</w:t>
      </w:r>
    </w:p>
    <w:p w:rsidR="00A25077" w:rsidRPr="00E65649" w:rsidRDefault="004E3001"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value of the “haircut” may be decided by </w:t>
      </w:r>
      <w:r w:rsidR="00380F75" w:rsidRPr="00E65649">
        <w:rPr>
          <w:rFonts w:ascii="Book Antiqua" w:eastAsia="Times New Roman" w:hAnsi="Book Antiqua"/>
          <w:sz w:val="24"/>
          <w:szCs w:val="24"/>
          <w:lang w:eastAsia="en-IN"/>
        </w:rPr>
        <w:t>the</w:t>
      </w:r>
      <w:r w:rsidR="00526448">
        <w:rPr>
          <w:rFonts w:ascii="Book Antiqua" w:eastAsia="Times New Roman" w:hAnsi="Book Antiqua"/>
          <w:sz w:val="24"/>
          <w:szCs w:val="24"/>
          <w:lang w:eastAsia="en-IN"/>
        </w:rPr>
        <w:t xml:space="preserv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based on market volatility and quality of collaterals. Limit on the basis of uncleared cheques will be at discretion of </w:t>
      </w:r>
      <w:r w:rsidR="00380F75" w:rsidRPr="00E65649">
        <w:rPr>
          <w:rFonts w:ascii="Book Antiqua" w:eastAsia="Times New Roman" w:hAnsi="Book Antiqua"/>
          <w:sz w:val="24"/>
          <w:szCs w:val="24"/>
          <w:lang w:eastAsia="en-IN"/>
        </w:rPr>
        <w:t>the</w:t>
      </w:r>
      <w:r w:rsidR="00526448">
        <w:rPr>
          <w:rFonts w:ascii="Book Antiqua" w:eastAsia="Times New Roman" w:hAnsi="Book Antiqua"/>
          <w:sz w:val="24"/>
          <w:szCs w:val="24"/>
          <w:lang w:eastAsia="en-IN"/>
        </w:rPr>
        <w:t xml:space="preserv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and shall be based on past conduct of client.</w:t>
      </w:r>
    </w:p>
    <w:p w:rsidR="00A25077" w:rsidRPr="00E65649" w:rsidRDefault="004E3001"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Client</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wise differential limits: </w:t>
      </w:r>
      <w:r w:rsidR="00800BFC"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1E213A" w:rsidRPr="00E65649">
        <w:rPr>
          <w:rFonts w:ascii="Book Antiqua" w:eastAsia="Times New Roman" w:hAnsi="Book Antiqua"/>
          <w:sz w:val="24"/>
          <w:szCs w:val="24"/>
          <w:lang w:eastAsia="en-IN"/>
        </w:rPr>
        <w:t xml:space="preserve">may levy additional margin </w:t>
      </w:r>
      <w:r w:rsidR="00B51772" w:rsidRPr="00E65649">
        <w:rPr>
          <w:rFonts w:ascii="Book Antiqua" w:eastAsia="Times New Roman" w:hAnsi="Book Antiqua"/>
          <w:sz w:val="24"/>
          <w:szCs w:val="24"/>
          <w:lang w:eastAsia="en-IN"/>
        </w:rPr>
        <w:t xml:space="preserve">to clients based on assessment of each client’s </w:t>
      </w:r>
      <w:r w:rsidR="005E26A2" w:rsidRPr="00E65649">
        <w:rPr>
          <w:rFonts w:ascii="Book Antiqua" w:eastAsia="Times New Roman" w:hAnsi="Book Antiqua"/>
          <w:sz w:val="24"/>
          <w:szCs w:val="24"/>
          <w:lang w:eastAsia="en-IN"/>
        </w:rPr>
        <w:t>credit risk or trading pattern risk</w:t>
      </w:r>
      <w:r w:rsidR="001E213A" w:rsidRPr="00E65649">
        <w:rPr>
          <w:rFonts w:ascii="Book Antiqua" w:eastAsia="Times New Roman" w:hAnsi="Book Antiqua"/>
          <w:sz w:val="24"/>
          <w:szCs w:val="24"/>
          <w:lang w:eastAsia="en-IN"/>
        </w:rPr>
        <w:t>.</w:t>
      </w:r>
    </w:p>
    <w:p w:rsidR="00A25077" w:rsidRPr="00E65649" w:rsidRDefault="00800BFC" w:rsidP="0093792D">
      <w:pPr>
        <w:pStyle w:val="ListParagraph"/>
        <w:numPr>
          <w:ilvl w:val="0"/>
          <w:numId w:val="5"/>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’s discretions on limits:</w:t>
      </w:r>
    </w:p>
    <w:p w:rsidR="00A25077" w:rsidRPr="00E65649" w:rsidRDefault="00800BFC" w:rsidP="0093792D">
      <w:pPr>
        <w:pStyle w:val="ListParagraph"/>
        <w:numPr>
          <w:ilvl w:val="0"/>
          <w:numId w:val="6"/>
        </w:numPr>
        <w:shd w:val="clear" w:color="auto" w:fill="FFFFFF"/>
        <w:spacing w:after="225" w:line="240" w:lineRule="auto"/>
        <w:ind w:left="1296"/>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has discretion to change the limits on the basis of risk perception and other factors considered relevant  (such  as broker level/exchange level  limits  in  specific  securities or Income declaration or volume Specific exposures based on surveillance measures)</w:t>
      </w:r>
    </w:p>
    <w:p w:rsidR="00A25077" w:rsidRPr="00E65649" w:rsidRDefault="00800BFC" w:rsidP="0093792D">
      <w:pPr>
        <w:pStyle w:val="ListParagraph"/>
        <w:numPr>
          <w:ilvl w:val="0"/>
          <w:numId w:val="6"/>
        </w:numPr>
        <w:shd w:val="clear" w:color="auto" w:fill="FFFFFF"/>
        <w:spacing w:after="225" w:line="240" w:lineRule="auto"/>
        <w:ind w:left="1296"/>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may inform to the client of such variation, reduction or imposition in advance or during market hours and/or through trading system. Non receipt of information shall not construe to be an invalid action</w:t>
      </w:r>
    </w:p>
    <w:p w:rsidR="004E3001" w:rsidRPr="00E65649" w:rsidRDefault="00800BFC" w:rsidP="0093792D">
      <w:pPr>
        <w:pStyle w:val="ListParagraph"/>
        <w:numPr>
          <w:ilvl w:val="0"/>
          <w:numId w:val="6"/>
        </w:numPr>
        <w:shd w:val="clear" w:color="auto" w:fill="FFFFFF"/>
        <w:spacing w:after="225" w:line="240" w:lineRule="auto"/>
        <w:ind w:left="1296"/>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not be responsible for client’s inability to execute any order on account of any such variation, reduction or imposition of limits.</w:t>
      </w:r>
    </w:p>
    <w:p w:rsidR="004E3001" w:rsidRPr="00E65649" w:rsidRDefault="004E3001" w:rsidP="004E3001">
      <w:pPr>
        <w:shd w:val="clear" w:color="auto" w:fill="FFFFFF"/>
        <w:spacing w:after="225" w:line="240" w:lineRule="auto"/>
        <w:jc w:val="both"/>
        <w:rPr>
          <w:rFonts w:ascii="Book Antiqua" w:eastAsia="Times New Roman" w:hAnsi="Book Antiqua"/>
          <w:sz w:val="24"/>
          <w:szCs w:val="24"/>
          <w:lang w:eastAsia="en-IN"/>
        </w:rPr>
      </w:pPr>
    </w:p>
    <w:p w:rsidR="004E3001"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14" w:name="_Toc168412289"/>
      <w:r w:rsidRPr="00E65649">
        <w:rPr>
          <w:rFonts w:ascii="Book Antiqua" w:eastAsia="Times New Roman" w:hAnsi="Book Antiqua"/>
          <w:b/>
          <w:sz w:val="24"/>
          <w:szCs w:val="24"/>
          <w:lang w:eastAsia="en-IN"/>
        </w:rPr>
        <w:t>Refusal</w:t>
      </w:r>
      <w:r w:rsidR="004F6B7D" w:rsidRPr="00E65649">
        <w:rPr>
          <w:rFonts w:ascii="Book Antiqua" w:eastAsia="Times New Roman" w:hAnsi="Book Antiqua"/>
          <w:b/>
          <w:sz w:val="24"/>
          <w:szCs w:val="24"/>
          <w:lang w:eastAsia="en-IN"/>
        </w:rPr>
        <w:t>/partial rejection of client orders</w:t>
      </w:r>
      <w:bookmarkEnd w:id="14"/>
    </w:p>
    <w:p w:rsidR="00932B21" w:rsidRPr="00E65649" w:rsidRDefault="00932B21" w:rsidP="00932B21">
      <w:pPr>
        <w:pStyle w:val="ListParagraph"/>
        <w:shd w:val="clear" w:color="auto" w:fill="FFFFFF"/>
        <w:spacing w:after="225" w:line="240" w:lineRule="auto"/>
        <w:jc w:val="both"/>
        <w:rPr>
          <w:rFonts w:ascii="Book Antiqua" w:eastAsia="Times New Roman" w:hAnsi="Book Antiqua"/>
          <w:sz w:val="24"/>
          <w:szCs w:val="24"/>
          <w:lang w:eastAsia="en-IN"/>
        </w:rPr>
      </w:pPr>
    </w:p>
    <w:p w:rsidR="00932B21" w:rsidRPr="00E65649" w:rsidRDefault="004E3001"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Penny/illiquid stocks are traded at relatively low price and/or market volume. </w:t>
      </w:r>
      <w:r w:rsidR="00800BFC"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shall have absolute discretion to accept, refuse or partially accept any buy or sell order for execution from a client in respect of penny stocks, illiquid stocks, stocks having low liquidity, illiquid “options”, far month “options”, writing of “options”, and any other contracts which as per the perception of </w:t>
      </w:r>
      <w:r w:rsidR="003C36F2"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are extremely volatile or subject to market manipulation.</w:t>
      </w:r>
    </w:p>
    <w:p w:rsidR="00932B21" w:rsidRPr="00E65649" w:rsidRDefault="00800BFC"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may permit restrictive acceptance of orders in such scrips/contracts in controlled to a centralized desk at HO instead at branch level or through online trading platform.</w:t>
      </w:r>
    </w:p>
    <w:p w:rsidR="00932B21" w:rsidRPr="00E65649" w:rsidRDefault="00800BFC"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not be responsible for delay in execution of such orders and consequential opportunity loss or financial loss to the client.</w:t>
      </w:r>
    </w:p>
    <w:p w:rsidR="00932B21" w:rsidRPr="00E65649" w:rsidRDefault="00800BFC"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may take appropriate declarations from the clients before accepting such orders.</w:t>
      </w:r>
    </w:p>
    <w:p w:rsidR="00932B21" w:rsidRPr="00E65649" w:rsidRDefault="00800BFC"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have the prerogative to place such restrictions, notwithstanding the fact that the client has adequate credit balance or margin available in his account and/or the client had previously purchased or sold such securities/contracts through </w:t>
      </w:r>
      <w:r w:rsidR="00380F75" w:rsidRPr="00E65649">
        <w:rPr>
          <w:rFonts w:ascii="Book Antiqua" w:eastAsia="Times New Roman" w:hAnsi="Book Antiqua"/>
          <w:sz w:val="24"/>
          <w:szCs w:val="24"/>
          <w:lang w:eastAsia="en-IN"/>
        </w:rPr>
        <w:t>the</w:t>
      </w:r>
      <w:r w:rsidR="00A52BB2">
        <w:rPr>
          <w:rFonts w:ascii="Book Antiqua" w:eastAsia="Times New Roman" w:hAnsi="Book Antiqua"/>
          <w:sz w:val="24"/>
          <w:szCs w:val="24"/>
          <w:lang w:eastAsia="en-IN"/>
        </w:rPr>
        <w:t xml:space="preserv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itself.</w:t>
      </w:r>
    </w:p>
    <w:p w:rsidR="004E3001" w:rsidRPr="00E65649" w:rsidRDefault="004E3001" w:rsidP="0093792D">
      <w:pPr>
        <w:pStyle w:val="ListParagraph"/>
        <w:numPr>
          <w:ilvl w:val="0"/>
          <w:numId w:val="7"/>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In addition to existing Surveillance action being imposed from time to time, it may be noted that securities which are under graded surveillance measures will attract additional surveillance measures as announced by the Exchanges from time to time.</w:t>
      </w:r>
    </w:p>
    <w:p w:rsidR="001E1BBA" w:rsidRPr="00E65649" w:rsidRDefault="001E1BBA" w:rsidP="001E1BBA">
      <w:pPr>
        <w:pStyle w:val="ListParagraph"/>
        <w:shd w:val="clear" w:color="auto" w:fill="FFFFFF"/>
        <w:spacing w:after="225" w:line="240" w:lineRule="auto"/>
        <w:jc w:val="both"/>
        <w:rPr>
          <w:rFonts w:ascii="Book Antiqua" w:eastAsia="Times New Roman" w:hAnsi="Book Antiqua"/>
          <w:sz w:val="24"/>
          <w:szCs w:val="24"/>
          <w:lang w:eastAsia="en-IN"/>
        </w:rPr>
      </w:pPr>
    </w:p>
    <w:p w:rsidR="004E3001" w:rsidRPr="00E65649" w:rsidRDefault="000E1676" w:rsidP="007A3091">
      <w:pPr>
        <w:pStyle w:val="ListParagraph"/>
        <w:numPr>
          <w:ilvl w:val="0"/>
          <w:numId w:val="1"/>
        </w:numPr>
        <w:spacing w:after="160" w:line="259" w:lineRule="auto"/>
        <w:ind w:left="360"/>
        <w:outlineLvl w:val="1"/>
        <w:rPr>
          <w:rFonts w:ascii="Book Antiqua" w:eastAsia="Times New Roman" w:hAnsi="Book Antiqua"/>
          <w:b/>
          <w:sz w:val="24"/>
          <w:szCs w:val="24"/>
          <w:lang w:eastAsia="en-IN"/>
        </w:rPr>
      </w:pPr>
      <w:bookmarkStart w:id="15" w:name="_Toc168412290"/>
      <w:r w:rsidRPr="00E65649">
        <w:rPr>
          <w:rFonts w:ascii="Book Antiqua" w:eastAsia="Times New Roman" w:hAnsi="Book Antiqua"/>
          <w:b/>
          <w:sz w:val="24"/>
          <w:szCs w:val="24"/>
          <w:lang w:eastAsia="en-IN"/>
        </w:rPr>
        <w:t>R</w:t>
      </w:r>
      <w:r w:rsidR="004E3001" w:rsidRPr="00E65649">
        <w:rPr>
          <w:rFonts w:ascii="Book Antiqua" w:eastAsia="Times New Roman" w:hAnsi="Book Antiqua"/>
          <w:b/>
          <w:sz w:val="24"/>
          <w:szCs w:val="24"/>
          <w:lang w:eastAsia="en-IN"/>
        </w:rPr>
        <w:t>ight to sell clients securities or close clients positions</w:t>
      </w:r>
      <w:r w:rsidR="00954BB3" w:rsidRPr="00E65649">
        <w:rPr>
          <w:rFonts w:ascii="Book Antiqua" w:eastAsia="Times New Roman" w:hAnsi="Book Antiqua"/>
          <w:b/>
          <w:sz w:val="24"/>
          <w:szCs w:val="24"/>
          <w:lang w:eastAsia="en-IN"/>
        </w:rPr>
        <w:t xml:space="preserve"> or invoke pledge</w:t>
      </w:r>
      <w:r w:rsidR="002D4981" w:rsidRPr="00E65649">
        <w:rPr>
          <w:rFonts w:ascii="Book Antiqua" w:eastAsia="Times New Roman" w:hAnsi="Book Antiqua"/>
          <w:b/>
          <w:sz w:val="24"/>
          <w:szCs w:val="24"/>
          <w:lang w:eastAsia="en-IN"/>
        </w:rPr>
        <w:t>d</w:t>
      </w:r>
      <w:r w:rsidR="00526448">
        <w:rPr>
          <w:rFonts w:ascii="Book Antiqua" w:eastAsia="Times New Roman" w:hAnsi="Book Antiqua"/>
          <w:b/>
          <w:sz w:val="24"/>
          <w:szCs w:val="24"/>
          <w:lang w:eastAsia="en-IN"/>
        </w:rPr>
        <w:t xml:space="preserve"> </w:t>
      </w:r>
      <w:r w:rsidR="002D4981" w:rsidRPr="00E65649">
        <w:rPr>
          <w:rFonts w:ascii="Book Antiqua" w:eastAsia="Times New Roman" w:hAnsi="Book Antiqua"/>
          <w:b/>
          <w:sz w:val="24"/>
          <w:szCs w:val="24"/>
          <w:lang w:eastAsia="en-IN"/>
        </w:rPr>
        <w:t>collateral</w:t>
      </w:r>
      <w:bookmarkEnd w:id="15"/>
      <w:r w:rsidR="00526448">
        <w:rPr>
          <w:rFonts w:ascii="Book Antiqua" w:eastAsia="Times New Roman" w:hAnsi="Book Antiqua"/>
          <w:b/>
          <w:sz w:val="24"/>
          <w:szCs w:val="24"/>
          <w:lang w:eastAsia="en-IN"/>
        </w:rPr>
        <w:t>.</w:t>
      </w:r>
    </w:p>
    <w:p w:rsidR="004B5631" w:rsidRPr="00E65649" w:rsidRDefault="004B5631" w:rsidP="004B5631">
      <w:pPr>
        <w:pStyle w:val="ListParagraph"/>
        <w:spacing w:after="160" w:line="259" w:lineRule="auto"/>
        <w:ind w:left="360"/>
        <w:rPr>
          <w:rFonts w:ascii="Book Antiqua" w:eastAsia="Times New Roman" w:hAnsi="Book Antiqua"/>
          <w:b/>
          <w:sz w:val="24"/>
          <w:szCs w:val="24"/>
          <w:lang w:eastAsia="en-IN"/>
        </w:rPr>
      </w:pPr>
    </w:p>
    <w:p w:rsidR="004E3001" w:rsidRPr="00E65649" w:rsidRDefault="00800BFC" w:rsidP="00C41C46">
      <w:p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have the right to sell client’s </w:t>
      </w:r>
      <w:r w:rsidR="007C632E" w:rsidRPr="00E65649">
        <w:rPr>
          <w:rFonts w:ascii="Book Antiqua" w:eastAsia="Times New Roman" w:hAnsi="Book Antiqua"/>
          <w:sz w:val="24"/>
          <w:szCs w:val="24"/>
          <w:lang w:eastAsia="en-IN"/>
        </w:rPr>
        <w:t xml:space="preserve">unpaid </w:t>
      </w:r>
      <w:r w:rsidR="004E3001" w:rsidRPr="00E65649">
        <w:rPr>
          <w:rFonts w:ascii="Book Antiqua" w:eastAsia="Times New Roman" w:hAnsi="Book Antiqua"/>
          <w:sz w:val="24"/>
          <w:szCs w:val="24"/>
          <w:lang w:eastAsia="en-IN"/>
        </w:rPr>
        <w:t>securities</w:t>
      </w:r>
      <w:r w:rsidR="007C632E" w:rsidRPr="00E65649">
        <w:rPr>
          <w:rFonts w:ascii="Book Antiqua" w:eastAsia="Times New Roman" w:hAnsi="Book Antiqua"/>
          <w:sz w:val="24"/>
          <w:szCs w:val="24"/>
          <w:lang w:eastAsia="en-IN"/>
        </w:rPr>
        <w:t xml:space="preserve"> and invoke </w:t>
      </w:r>
      <w:r w:rsidR="00DF042A" w:rsidRPr="00E65649">
        <w:rPr>
          <w:rFonts w:ascii="Book Antiqua" w:eastAsia="Times New Roman" w:hAnsi="Book Antiqua"/>
          <w:sz w:val="24"/>
          <w:szCs w:val="24"/>
          <w:lang w:eastAsia="en-IN"/>
        </w:rPr>
        <w:t xml:space="preserve">pledge on </w:t>
      </w:r>
      <w:r w:rsidR="004E3001" w:rsidRPr="00E65649">
        <w:rPr>
          <w:rFonts w:ascii="Book Antiqua" w:eastAsia="Times New Roman" w:hAnsi="Book Antiqua"/>
          <w:sz w:val="24"/>
          <w:szCs w:val="24"/>
          <w:lang w:eastAsia="en-IN"/>
        </w:rPr>
        <w:t>collateral</w:t>
      </w:r>
      <w:r w:rsidR="00526448">
        <w:rPr>
          <w:rFonts w:ascii="Book Antiqua" w:eastAsia="Times New Roman" w:hAnsi="Book Antiqua"/>
          <w:sz w:val="24"/>
          <w:szCs w:val="24"/>
          <w:lang w:eastAsia="en-IN"/>
        </w:rPr>
        <w:t xml:space="preserve"> </w:t>
      </w:r>
      <w:r w:rsidR="001C2715" w:rsidRPr="00E65649">
        <w:rPr>
          <w:rFonts w:ascii="Book Antiqua" w:eastAsia="Times New Roman" w:hAnsi="Book Antiqua"/>
          <w:sz w:val="24"/>
          <w:szCs w:val="24"/>
          <w:lang w:eastAsia="en-IN"/>
        </w:rPr>
        <w:t>received</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towards margins, or close out client’s open positions, without giving notice to the client where there is a delay/failure of the client to the pay</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in obligations and/or there is a failure of the client to bring additional margins to cover the increase in risk in the dynamic market conditions even after the margin calls.</w:t>
      </w:r>
    </w:p>
    <w:p w:rsidR="004E3001" w:rsidRPr="00E65649" w:rsidRDefault="004E3001" w:rsidP="0093792D">
      <w:pPr>
        <w:pStyle w:val="ListParagraph"/>
        <w:numPr>
          <w:ilvl w:val="0"/>
          <w:numId w:val="2"/>
        </w:numPr>
        <w:shd w:val="clear" w:color="auto" w:fill="FFFFFF"/>
        <w:tabs>
          <w:tab w:val="left" w:pos="1350"/>
        </w:tabs>
        <w:spacing w:after="225" w:line="240" w:lineRule="auto"/>
        <w:ind w:hanging="360"/>
        <w:jc w:val="both"/>
        <w:rPr>
          <w:rFonts w:ascii="Book Antiqua" w:eastAsia="Times New Roman" w:hAnsi="Book Antiqua"/>
          <w:b/>
          <w:sz w:val="24"/>
          <w:szCs w:val="24"/>
          <w:u w:val="single"/>
          <w:lang w:eastAsia="en-IN"/>
        </w:rPr>
      </w:pPr>
      <w:r w:rsidRPr="00E65649">
        <w:rPr>
          <w:rFonts w:ascii="Book Antiqua" w:eastAsia="Times New Roman" w:hAnsi="Book Antiqua"/>
          <w:b/>
          <w:sz w:val="24"/>
          <w:szCs w:val="24"/>
          <w:u w:val="single"/>
          <w:lang w:eastAsia="en-IN"/>
        </w:rPr>
        <w:t>Unpaid Securities in Capital Market:</w:t>
      </w:r>
    </w:p>
    <w:p w:rsidR="0093792D" w:rsidRPr="00E65649" w:rsidRDefault="0093792D" w:rsidP="0093792D">
      <w:pPr>
        <w:pStyle w:val="ListParagraph"/>
        <w:numPr>
          <w:ilvl w:val="0"/>
          <w:numId w:val="1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All the securities received in pay-out shall be transferred to the demat account of the respective clients directly from the pool account of 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within one working day of the pay-out.</w:t>
      </w:r>
    </w:p>
    <w:p w:rsidR="00532135" w:rsidRPr="00E65649" w:rsidRDefault="004E3001" w:rsidP="00532135">
      <w:pPr>
        <w:pStyle w:val="ListParagraph"/>
        <w:numPr>
          <w:ilvl w:val="0"/>
          <w:numId w:val="1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In case of </w:t>
      </w:r>
      <w:r w:rsidR="0044316D" w:rsidRPr="00E65649">
        <w:rPr>
          <w:rFonts w:ascii="Book Antiqua" w:eastAsia="Times New Roman" w:hAnsi="Book Antiqua"/>
          <w:sz w:val="24"/>
          <w:szCs w:val="24"/>
          <w:lang w:eastAsia="en-IN"/>
        </w:rPr>
        <w:t>securities that have not been</w:t>
      </w:r>
      <w:r w:rsidR="009B3491" w:rsidRPr="00E65649">
        <w:rPr>
          <w:rFonts w:ascii="Book Antiqua" w:eastAsia="Times New Roman" w:hAnsi="Book Antiqua"/>
          <w:sz w:val="24"/>
          <w:szCs w:val="24"/>
          <w:lang w:eastAsia="en-IN"/>
        </w:rPr>
        <w:t xml:space="preserve"> paid</w:t>
      </w:r>
      <w:r w:rsidR="0044316D" w:rsidRPr="00E65649">
        <w:rPr>
          <w:rFonts w:ascii="Book Antiqua" w:eastAsia="Times New Roman" w:hAnsi="Book Antiqua"/>
          <w:sz w:val="24"/>
          <w:szCs w:val="24"/>
          <w:lang w:eastAsia="en-IN"/>
        </w:rPr>
        <w:t xml:space="preserve"> for in full by the clients (unpaid securities), </w:t>
      </w:r>
      <w:r w:rsidR="00682064" w:rsidRPr="00E65649">
        <w:rPr>
          <w:rFonts w:ascii="Book Antiqua" w:eastAsia="Times New Roman" w:hAnsi="Book Antiqua"/>
          <w:sz w:val="24"/>
          <w:szCs w:val="24"/>
          <w:lang w:eastAsia="en-IN"/>
        </w:rPr>
        <w:t xml:space="preserve">such </w:t>
      </w:r>
      <w:r w:rsidR="0044316D" w:rsidRPr="00E65649">
        <w:rPr>
          <w:rFonts w:ascii="Book Antiqua" w:eastAsia="Times New Roman" w:hAnsi="Book Antiqua"/>
          <w:sz w:val="24"/>
          <w:szCs w:val="24"/>
          <w:lang w:eastAsia="en-IN"/>
        </w:rPr>
        <w:t xml:space="preserve">securities shall be transferred to </w:t>
      </w:r>
      <w:r w:rsidR="00682064" w:rsidRPr="00E65649">
        <w:rPr>
          <w:rFonts w:ascii="Book Antiqua" w:eastAsia="Times New Roman" w:hAnsi="Book Antiqua"/>
          <w:sz w:val="24"/>
          <w:szCs w:val="24"/>
          <w:lang w:eastAsia="en-IN"/>
        </w:rPr>
        <w:t xml:space="preserve">respective client’s demat account followed by creation of an auto-pledge (i.e., without any specific instruction from the client) with the reason “unpaid”, in favor “client unpaid securities pledgee account”, </w:t>
      </w:r>
      <w:r w:rsidR="00A47D89" w:rsidRPr="00E65649">
        <w:rPr>
          <w:rFonts w:ascii="Book Antiqua" w:eastAsia="Times New Roman" w:hAnsi="Book Antiqua"/>
          <w:sz w:val="24"/>
          <w:szCs w:val="24"/>
          <w:lang w:eastAsia="en-IN"/>
        </w:rPr>
        <w:t xml:space="preserve">of </w:t>
      </w:r>
      <w:r w:rsidR="000A5BE4"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115655" w:rsidRPr="00E65649">
        <w:rPr>
          <w:rFonts w:ascii="Book Antiqua" w:eastAsia="Times New Roman" w:hAnsi="Book Antiqua"/>
          <w:sz w:val="24"/>
          <w:szCs w:val="24"/>
          <w:lang w:eastAsia="en-IN"/>
        </w:rPr>
        <w:t xml:space="preserve"> at the discretion of the TM</w:t>
      </w:r>
      <w:r w:rsidR="00A47D89" w:rsidRPr="00E65649">
        <w:rPr>
          <w:rFonts w:ascii="Book Antiqua" w:eastAsia="Times New Roman" w:hAnsi="Book Antiqua"/>
          <w:sz w:val="24"/>
          <w:szCs w:val="24"/>
          <w:lang w:eastAsia="en-IN"/>
        </w:rPr>
        <w:t>.</w:t>
      </w:r>
    </w:p>
    <w:p w:rsidR="00177308" w:rsidRPr="00E65649" w:rsidRDefault="00070013" w:rsidP="00177308">
      <w:pPr>
        <w:pStyle w:val="ListParagraph"/>
        <w:numPr>
          <w:ilvl w:val="0"/>
          <w:numId w:val="1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If the client fulfills its funds obligation within five trading days after the pay-out, </w:t>
      </w:r>
      <w:r w:rsidR="00177308"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A52BB2">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shall release the pledge so that the securities are available to the client as free balance.</w:t>
      </w:r>
    </w:p>
    <w:p w:rsidR="00532135" w:rsidRPr="00E65649" w:rsidRDefault="00070013" w:rsidP="00177308">
      <w:pPr>
        <w:pStyle w:val="ListParagraph"/>
        <w:numPr>
          <w:ilvl w:val="0"/>
          <w:numId w:val="1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If the client does not fulfill its funds obligation, </w:t>
      </w:r>
      <w:r w:rsidR="00177308"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A52BB2">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 xml:space="preserve">shall dispose off such unpaid securities in the market within five trading days after the pay-out. </w:t>
      </w:r>
      <w:r w:rsidR="008A4E82"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before disposing the securities, shall give an intimation (email / SMS) to the client, one trading day before such sale.</w:t>
      </w:r>
    </w:p>
    <w:p w:rsidR="00741688" w:rsidRPr="00E65649" w:rsidRDefault="00741688" w:rsidP="00741688">
      <w:pPr>
        <w:pStyle w:val="ListParagraph"/>
        <w:numPr>
          <w:ilvl w:val="0"/>
          <w:numId w:val="1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Profit/loss on the sale transaction of the unpaid securities, if any, shall be transferred to/adjusted from the respective client account.</w:t>
      </w:r>
    </w:p>
    <w:p w:rsidR="004E3001" w:rsidRPr="00E65649" w:rsidRDefault="004E3001" w:rsidP="00070013">
      <w:pPr>
        <w:pStyle w:val="ListParagraph"/>
        <w:shd w:val="clear" w:color="auto" w:fill="FFFFFF"/>
        <w:spacing w:after="225" w:line="240" w:lineRule="auto"/>
        <w:ind w:left="1800"/>
        <w:jc w:val="both"/>
        <w:rPr>
          <w:rFonts w:ascii="Book Antiqua" w:eastAsia="Times New Roman" w:hAnsi="Book Antiqua"/>
          <w:sz w:val="24"/>
          <w:szCs w:val="24"/>
          <w:lang w:eastAsia="en-IN"/>
        </w:rPr>
      </w:pPr>
    </w:p>
    <w:p w:rsidR="004E3001" w:rsidRPr="00E65649" w:rsidRDefault="004E3001" w:rsidP="0093792D">
      <w:pPr>
        <w:pStyle w:val="ListParagraph"/>
        <w:numPr>
          <w:ilvl w:val="0"/>
          <w:numId w:val="2"/>
        </w:numPr>
        <w:shd w:val="clear" w:color="auto" w:fill="FFFFFF"/>
        <w:spacing w:after="225" w:line="240" w:lineRule="auto"/>
        <w:jc w:val="both"/>
        <w:rPr>
          <w:rFonts w:ascii="Book Antiqua" w:eastAsia="Times New Roman" w:hAnsi="Book Antiqua"/>
          <w:b/>
          <w:sz w:val="24"/>
          <w:szCs w:val="24"/>
          <w:u w:val="single"/>
          <w:lang w:eastAsia="en-IN"/>
        </w:rPr>
      </w:pPr>
      <w:r w:rsidRPr="00E65649">
        <w:rPr>
          <w:rFonts w:ascii="Book Antiqua" w:eastAsia="Times New Roman" w:hAnsi="Book Antiqua"/>
          <w:b/>
          <w:sz w:val="24"/>
          <w:szCs w:val="24"/>
          <w:u w:val="single"/>
          <w:lang w:eastAsia="en-IN"/>
        </w:rPr>
        <w:t>Margin shortfall in F&amp;O and Currency Segments:</w:t>
      </w:r>
    </w:p>
    <w:p w:rsidR="004E3001" w:rsidRPr="00E65649" w:rsidRDefault="004E3001" w:rsidP="004E3001">
      <w:pPr>
        <w:pStyle w:val="ListParagraph"/>
        <w:shd w:val="clear" w:color="auto" w:fill="FFFFFF"/>
        <w:spacing w:after="225" w:line="240" w:lineRule="auto"/>
        <w:ind w:left="108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Positions of the client may be closed out to the extent of margin shortfall on the T+1 basis /Real time monitoring basis. While computing margin shortfall, value of unapproved securities shall not be considered. As per the Exchange requirements, </w:t>
      </w:r>
      <w:r w:rsidR="00380F75" w:rsidRPr="00E65649">
        <w:rPr>
          <w:rFonts w:ascii="Book Antiqua" w:eastAsia="Times New Roman" w:hAnsi="Book Antiqua"/>
          <w:sz w:val="24"/>
          <w:szCs w:val="24"/>
          <w:lang w:eastAsia="en-IN"/>
        </w:rPr>
        <w:t>the</w:t>
      </w:r>
      <w:r w:rsidR="00A52BB2">
        <w:rPr>
          <w:rFonts w:ascii="Book Antiqua" w:eastAsia="Times New Roman" w:hAnsi="Book Antiqua"/>
          <w:sz w:val="24"/>
          <w:szCs w:val="24"/>
          <w:lang w:eastAsia="en-IN"/>
        </w:rPr>
        <w:t xml:space="preserv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is required to maintain a prescribed ratio between cash and collaterals margin deposited with the Exchange. </w:t>
      </w:r>
      <w:r w:rsidR="00344FB6"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xml:space="preserve"> shall therefore have the prerogative to insist for at least such prescribed ratio % margin in cash and may not consider the value of securities over and above the cash component for the purpose of calculating margins shortfall and close the F&amp;O and Currency segment position where it finds deviation.</w:t>
      </w:r>
    </w:p>
    <w:p w:rsidR="004E3001" w:rsidRPr="00E65649" w:rsidRDefault="004E3001" w:rsidP="0093792D">
      <w:pPr>
        <w:pStyle w:val="ListParagraph"/>
        <w:numPr>
          <w:ilvl w:val="0"/>
          <w:numId w:val="2"/>
        </w:numPr>
        <w:shd w:val="clear" w:color="auto" w:fill="FFFFFF"/>
        <w:spacing w:after="225" w:line="240" w:lineRule="auto"/>
        <w:jc w:val="both"/>
        <w:rPr>
          <w:rFonts w:ascii="Book Antiqua" w:eastAsia="Times New Roman" w:hAnsi="Book Antiqua"/>
          <w:b/>
          <w:sz w:val="24"/>
          <w:szCs w:val="24"/>
          <w:u w:val="single"/>
          <w:lang w:eastAsia="en-IN"/>
        </w:rPr>
      </w:pPr>
      <w:r w:rsidRPr="00E65649">
        <w:rPr>
          <w:rFonts w:ascii="Book Antiqua" w:eastAsia="Times New Roman" w:hAnsi="Book Antiqua"/>
          <w:b/>
          <w:sz w:val="24"/>
          <w:szCs w:val="24"/>
          <w:u w:val="single"/>
          <w:lang w:eastAsia="en-IN"/>
        </w:rPr>
        <w:t>Intra</w:t>
      </w:r>
      <w:r w:rsidRPr="00E65649">
        <w:rPr>
          <w:rFonts w:ascii="Cambria Math" w:eastAsia="Times New Roman" w:hAnsi="Cambria Math" w:cs="Cambria Math"/>
          <w:b/>
          <w:sz w:val="24"/>
          <w:szCs w:val="24"/>
          <w:u w:val="single"/>
          <w:lang w:eastAsia="en-IN"/>
        </w:rPr>
        <w:t>‐</w:t>
      </w:r>
      <w:r w:rsidRPr="00E65649">
        <w:rPr>
          <w:rFonts w:ascii="Book Antiqua" w:eastAsia="Times New Roman" w:hAnsi="Book Antiqua"/>
          <w:b/>
          <w:sz w:val="24"/>
          <w:szCs w:val="24"/>
          <w:u w:val="single"/>
          <w:lang w:eastAsia="en-IN"/>
        </w:rPr>
        <w:t>day positions:</w:t>
      </w:r>
    </w:p>
    <w:p w:rsidR="004E3001" w:rsidRPr="00E65649" w:rsidRDefault="00800BFC" w:rsidP="004E3001">
      <w:pPr>
        <w:pStyle w:val="ListParagraph"/>
        <w:shd w:val="clear" w:color="auto" w:fill="FFFFFF"/>
        <w:spacing w:after="225" w:line="240" w:lineRule="auto"/>
        <w:ind w:left="108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have right to close out any intra</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day positions taken by the client after a defined ‘Cutoff’ time. (Presently 15 minutes before close of market hours)</w:t>
      </w:r>
    </w:p>
    <w:p w:rsidR="004E3001" w:rsidRPr="00E65649" w:rsidRDefault="004E3001" w:rsidP="0093792D">
      <w:pPr>
        <w:pStyle w:val="ListParagraph"/>
        <w:numPr>
          <w:ilvl w:val="0"/>
          <w:numId w:val="2"/>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b/>
          <w:sz w:val="24"/>
          <w:szCs w:val="24"/>
          <w:u w:val="single"/>
          <w:lang w:eastAsia="en-IN"/>
        </w:rPr>
        <w:t xml:space="preserve">Risk Base Square off: </w:t>
      </w:r>
    </w:p>
    <w:p w:rsidR="004E3001" w:rsidRPr="00E65649" w:rsidRDefault="004E3001" w:rsidP="004E3001">
      <w:pPr>
        <w:pStyle w:val="ListParagraph"/>
        <w:shd w:val="clear" w:color="auto" w:fill="FFFFFF"/>
        <w:spacing w:after="225" w:line="240" w:lineRule="auto"/>
        <w:ind w:left="108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All positions under All Product will be subject to 75% MTM Loss i.e. positions may be liquidated if loss reaches to a pre decided level of client margin loss. The open positions (i.e. the carry forward overnight positions) and the intraday leverage position (across segments) may be squared off at 75% MTM Loss.</w:t>
      </w:r>
    </w:p>
    <w:p w:rsidR="004E3001" w:rsidRPr="00E65649" w:rsidRDefault="004E3001" w:rsidP="0093792D">
      <w:pPr>
        <w:pStyle w:val="ListParagraph"/>
        <w:numPr>
          <w:ilvl w:val="0"/>
          <w:numId w:val="2"/>
        </w:numPr>
        <w:shd w:val="clear" w:color="auto" w:fill="FFFFFF"/>
        <w:spacing w:after="225" w:line="240" w:lineRule="auto"/>
        <w:jc w:val="both"/>
        <w:rPr>
          <w:rFonts w:ascii="Book Antiqua" w:eastAsia="Times New Roman" w:hAnsi="Book Antiqua"/>
          <w:b/>
          <w:sz w:val="24"/>
          <w:szCs w:val="24"/>
          <w:u w:val="single"/>
          <w:lang w:eastAsia="en-IN"/>
        </w:rPr>
      </w:pPr>
      <w:r w:rsidRPr="00E65649">
        <w:rPr>
          <w:rFonts w:ascii="Book Antiqua" w:eastAsia="Times New Roman" w:hAnsi="Book Antiqua"/>
          <w:b/>
          <w:sz w:val="24"/>
          <w:szCs w:val="24"/>
          <w:u w:val="single"/>
          <w:lang w:eastAsia="en-IN"/>
        </w:rPr>
        <w:t>Other General terms:</w:t>
      </w:r>
    </w:p>
    <w:p w:rsidR="004E3001" w:rsidRPr="00E65649" w:rsidRDefault="00800BFC" w:rsidP="004E3001">
      <w:pPr>
        <w:pStyle w:val="ListParagraph"/>
        <w:shd w:val="clear" w:color="auto" w:fill="FFFFFF"/>
        <w:spacing w:after="225" w:line="240" w:lineRule="auto"/>
        <w:ind w:left="108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shall  take  into  account  the  sales  made, positions  closed  by  the  client  or collections received from the client till the cut off time while selling the securities/closing the clients positions against debit/margin shortfall. While selling the securities/closing the client positions,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 xml:space="preserve">may not take into consideration Cheques remaining unclear although deposited by the client with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 xml:space="preserve">until clear proceeds of such instruments are received by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 xml:space="preserve">in its bank account. For this purposes Demand Draft / Pay order will not be taken into consideration.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shall have the right to sell clients securities or close out client’s position but it shall not be under any obligations to undertake this exe</w:t>
      </w:r>
      <w:r w:rsidR="00380F75" w:rsidRPr="00E65649">
        <w:rPr>
          <w:rFonts w:ascii="Book Antiqua" w:eastAsia="Times New Roman" w:hAnsi="Book Antiqua"/>
          <w:sz w:val="24"/>
          <w:szCs w:val="24"/>
          <w:lang w:eastAsia="en-IN"/>
        </w:rPr>
        <w:t>r</w:t>
      </w:r>
      <w:r w:rsidR="004E3001" w:rsidRPr="00E65649">
        <w:rPr>
          <w:rFonts w:ascii="Book Antiqua" w:eastAsia="Times New Roman" w:hAnsi="Book Antiqua"/>
          <w:sz w:val="24"/>
          <w:szCs w:val="24"/>
          <w:lang w:eastAsia="en-IN"/>
        </w:rPr>
        <w:t xml:space="preserve">cise compulsorily.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 xml:space="preserve">shall have the right to sell client securities in case of Ageing of debit and margin shortfall in the client account.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 xml:space="preserve">shall not be responsible for any losses and penalties/charges levied by the Exchange(s) caused on such square off. </w:t>
      </w:r>
      <w:r w:rsidR="00EC7CB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shall therefore not be under any obligation to compensate for any delay or omission on its part to sell clients securities or close open positions of the client.</w:t>
      </w:r>
    </w:p>
    <w:p w:rsidR="004E3001" w:rsidRPr="00E65649" w:rsidRDefault="004E3001" w:rsidP="004E3001">
      <w:pPr>
        <w:shd w:val="clear" w:color="auto" w:fill="FFFFFF"/>
        <w:spacing w:after="225" w:line="240" w:lineRule="auto"/>
        <w:jc w:val="both"/>
        <w:rPr>
          <w:rFonts w:ascii="Book Antiqua" w:eastAsia="Times New Roman" w:hAnsi="Book Antiqua"/>
          <w:sz w:val="24"/>
          <w:szCs w:val="24"/>
          <w:lang w:eastAsia="en-IN"/>
        </w:rPr>
      </w:pPr>
    </w:p>
    <w:p w:rsidR="001C01F5" w:rsidRPr="00E65649" w:rsidRDefault="001C01F5" w:rsidP="0052623A">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16" w:name="_Toc168412291"/>
      <w:r w:rsidRPr="00E65649">
        <w:rPr>
          <w:rFonts w:ascii="Book Antiqua" w:eastAsia="Times New Roman" w:hAnsi="Book Antiqua"/>
          <w:b/>
          <w:sz w:val="24"/>
          <w:szCs w:val="24"/>
          <w:lang w:eastAsia="en-IN"/>
        </w:rPr>
        <w:t>Funding to client</w:t>
      </w:r>
      <w:bookmarkEnd w:id="16"/>
    </w:p>
    <w:p w:rsidR="001C01F5" w:rsidRPr="00E65649" w:rsidRDefault="001C01F5" w:rsidP="001C01F5">
      <w:pPr>
        <w:pStyle w:val="ListParagraph"/>
        <w:shd w:val="clear" w:color="auto" w:fill="FFFFFF"/>
        <w:spacing w:after="225" w:line="240" w:lineRule="auto"/>
        <w:ind w:left="360"/>
        <w:jc w:val="both"/>
        <w:outlineLvl w:val="1"/>
        <w:rPr>
          <w:rFonts w:ascii="Book Antiqua" w:eastAsia="Times New Roman" w:hAnsi="Book Antiqua"/>
          <w:b/>
          <w:sz w:val="24"/>
          <w:szCs w:val="24"/>
          <w:lang w:eastAsia="en-IN"/>
        </w:rPr>
      </w:pPr>
    </w:p>
    <w:p w:rsidR="001C01F5" w:rsidRPr="00E65649" w:rsidRDefault="00787A15" w:rsidP="0053028E">
      <w:pPr>
        <w:pStyle w:val="ListParagraph"/>
        <w:shd w:val="clear" w:color="auto" w:fill="FFFFFF"/>
        <w:spacing w:after="225" w:line="240" w:lineRule="auto"/>
        <w:ind w:left="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TM shall not </w:t>
      </w:r>
      <w:r w:rsidR="00CE786D" w:rsidRPr="00E65649">
        <w:rPr>
          <w:rFonts w:ascii="Book Antiqua" w:eastAsia="Times New Roman" w:hAnsi="Book Antiqua"/>
          <w:sz w:val="24"/>
          <w:szCs w:val="24"/>
          <w:lang w:eastAsia="en-IN"/>
        </w:rPr>
        <w:t xml:space="preserve">allow exposure to client </w:t>
      </w:r>
      <w:r w:rsidR="00692DBE" w:rsidRPr="00E65649">
        <w:rPr>
          <w:rFonts w:ascii="Book Antiqua" w:eastAsia="Times New Roman" w:hAnsi="Book Antiqua"/>
          <w:sz w:val="24"/>
          <w:szCs w:val="24"/>
          <w:lang w:eastAsia="en-IN"/>
        </w:rPr>
        <w:t xml:space="preserve">after T+1+5 days </w:t>
      </w:r>
      <w:r w:rsidR="006A5FCC" w:rsidRPr="00E65649">
        <w:rPr>
          <w:rFonts w:ascii="Book Antiqua" w:eastAsia="Times New Roman" w:hAnsi="Book Antiqua"/>
          <w:sz w:val="24"/>
          <w:szCs w:val="24"/>
          <w:lang w:eastAsia="en-IN"/>
        </w:rPr>
        <w:t xml:space="preserve">where </w:t>
      </w:r>
      <w:r w:rsidR="00B37C24" w:rsidRPr="00E65649">
        <w:rPr>
          <w:rFonts w:ascii="Book Antiqua" w:eastAsia="Times New Roman" w:hAnsi="Book Antiqua"/>
          <w:sz w:val="24"/>
          <w:szCs w:val="24"/>
          <w:lang w:eastAsia="en-IN"/>
        </w:rPr>
        <w:t>client</w:t>
      </w:r>
      <w:r w:rsidR="00411738" w:rsidRPr="00E65649">
        <w:rPr>
          <w:rFonts w:ascii="Book Antiqua" w:eastAsia="Times New Roman" w:hAnsi="Book Antiqua"/>
          <w:sz w:val="24"/>
          <w:szCs w:val="24"/>
          <w:lang w:eastAsia="en-IN"/>
        </w:rPr>
        <w:t>’s pay-in</w:t>
      </w:r>
      <w:r w:rsidR="00B37C24" w:rsidRPr="00E65649">
        <w:rPr>
          <w:rFonts w:ascii="Book Antiqua" w:eastAsia="Times New Roman" w:hAnsi="Book Antiqua"/>
          <w:sz w:val="24"/>
          <w:szCs w:val="24"/>
          <w:lang w:eastAsia="en-IN"/>
        </w:rPr>
        <w:t xml:space="preserve"> obligation is </w:t>
      </w:r>
      <w:r w:rsidR="008C6644" w:rsidRPr="00E65649">
        <w:rPr>
          <w:rFonts w:ascii="Book Antiqua" w:eastAsia="Times New Roman" w:hAnsi="Book Antiqua"/>
          <w:sz w:val="24"/>
          <w:szCs w:val="24"/>
          <w:lang w:eastAsia="en-IN"/>
        </w:rPr>
        <w:t>not fully paid</w:t>
      </w:r>
      <w:r w:rsidR="00A77E15" w:rsidRPr="00E65649">
        <w:rPr>
          <w:rFonts w:ascii="Book Antiqua" w:eastAsia="Times New Roman" w:hAnsi="Book Antiqua"/>
          <w:sz w:val="24"/>
          <w:szCs w:val="24"/>
          <w:lang w:eastAsia="en-IN"/>
        </w:rPr>
        <w:t>.</w:t>
      </w:r>
    </w:p>
    <w:p w:rsidR="001C01F5" w:rsidRPr="00E65649" w:rsidRDefault="001C01F5" w:rsidP="001C01F5">
      <w:pPr>
        <w:pStyle w:val="ListParagraph"/>
        <w:shd w:val="clear" w:color="auto" w:fill="FFFFFF"/>
        <w:spacing w:after="225" w:line="240" w:lineRule="auto"/>
        <w:ind w:left="360"/>
        <w:jc w:val="both"/>
        <w:outlineLvl w:val="1"/>
        <w:rPr>
          <w:rFonts w:ascii="Book Antiqua" w:eastAsia="Times New Roman" w:hAnsi="Book Antiqua"/>
          <w:b/>
          <w:sz w:val="24"/>
          <w:szCs w:val="24"/>
          <w:lang w:eastAsia="en-IN"/>
        </w:rPr>
      </w:pPr>
    </w:p>
    <w:p w:rsidR="004E3001" w:rsidRPr="00E65649" w:rsidRDefault="00D344CB"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17" w:name="_Toc168412292"/>
      <w:r w:rsidRPr="00E65649">
        <w:rPr>
          <w:rFonts w:ascii="Book Antiqua" w:eastAsia="Times New Roman" w:hAnsi="Book Antiqua"/>
          <w:b/>
          <w:sz w:val="24"/>
          <w:szCs w:val="24"/>
          <w:lang w:eastAsia="en-IN"/>
        </w:rPr>
        <w:t>Restrictions on creation of carry forward positions</w:t>
      </w:r>
      <w:bookmarkEnd w:id="17"/>
    </w:p>
    <w:p w:rsidR="00B51E38" w:rsidRPr="00E65649" w:rsidRDefault="00B51E38" w:rsidP="00357285">
      <w:pPr>
        <w:pStyle w:val="ListParagraph"/>
        <w:shd w:val="clear" w:color="auto" w:fill="FFFFFF"/>
        <w:spacing w:after="225" w:line="240" w:lineRule="auto"/>
        <w:ind w:left="360"/>
        <w:jc w:val="both"/>
        <w:rPr>
          <w:rFonts w:ascii="Book Antiqua" w:eastAsia="Times New Roman" w:hAnsi="Book Antiqua"/>
          <w:sz w:val="24"/>
          <w:szCs w:val="24"/>
          <w:lang w:eastAsia="en-IN"/>
        </w:rPr>
      </w:pPr>
    </w:p>
    <w:p w:rsidR="00357285" w:rsidRPr="00E65649" w:rsidRDefault="00357285" w:rsidP="00357285">
      <w:pPr>
        <w:pStyle w:val="ListParagraph"/>
        <w:shd w:val="clear" w:color="auto" w:fill="FFFFFF"/>
        <w:spacing w:after="225" w:line="240" w:lineRule="auto"/>
        <w:ind w:left="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A52BB2">
        <w:rPr>
          <w:rFonts w:ascii="Book Antiqua" w:eastAsia="Times New Roman" w:hAnsi="Book Antiqua"/>
          <w:sz w:val="24"/>
          <w:szCs w:val="24"/>
          <w:lang w:eastAsia="en-IN"/>
        </w:rPr>
        <w:t xml:space="preserve"> </w:t>
      </w:r>
      <w:r w:rsidR="0086269B" w:rsidRPr="00E65649">
        <w:rPr>
          <w:rFonts w:ascii="Book Antiqua" w:eastAsia="Times New Roman" w:hAnsi="Book Antiqua"/>
          <w:sz w:val="24"/>
          <w:szCs w:val="24"/>
          <w:lang w:eastAsia="en-IN"/>
        </w:rPr>
        <w:t>shall restrict creation of carry forward positions of client in the following scenarios:</w:t>
      </w:r>
    </w:p>
    <w:p w:rsidR="004E3001" w:rsidRPr="00E65649" w:rsidRDefault="004E3001" w:rsidP="004E3001">
      <w:pPr>
        <w:pStyle w:val="ListParagraph"/>
        <w:shd w:val="clear" w:color="auto" w:fill="FFFFFF"/>
        <w:spacing w:after="225" w:line="240" w:lineRule="auto"/>
        <w:ind w:left="360"/>
        <w:jc w:val="both"/>
        <w:rPr>
          <w:rFonts w:ascii="Book Antiqua" w:eastAsia="Times New Roman" w:hAnsi="Book Antiqua"/>
          <w:sz w:val="24"/>
          <w:szCs w:val="24"/>
          <w:lang w:eastAsia="en-IN"/>
        </w:rPr>
      </w:pPr>
    </w:p>
    <w:p w:rsidR="004E3001" w:rsidRPr="00E65649" w:rsidRDefault="004E3001" w:rsidP="0093792D">
      <w:pPr>
        <w:pStyle w:val="ListParagraph"/>
        <w:numPr>
          <w:ilvl w:val="0"/>
          <w:numId w:val="3"/>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All markets:</w:t>
      </w:r>
    </w:p>
    <w:p w:rsidR="004E3001" w:rsidRPr="00E65649" w:rsidRDefault="004E3001" w:rsidP="004E3001">
      <w:p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Client is not having adequate margins as per conditions in Risk Management policy.</w:t>
      </w:r>
    </w:p>
    <w:p w:rsidR="004E3001" w:rsidRPr="00E65649" w:rsidRDefault="004E3001" w:rsidP="0093792D">
      <w:pPr>
        <w:pStyle w:val="ListParagraph"/>
        <w:numPr>
          <w:ilvl w:val="0"/>
          <w:numId w:val="3"/>
        </w:numPr>
        <w:shd w:val="clear" w:color="auto" w:fill="FFFFFF"/>
        <w:tabs>
          <w:tab w:val="left" w:pos="90"/>
        </w:tabs>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Capital markets:</w:t>
      </w:r>
    </w:p>
    <w:p w:rsidR="004E3001" w:rsidRPr="00E65649" w:rsidRDefault="004E3001" w:rsidP="004E3001">
      <w:p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The client has not been able to meet his pay</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in obligations in cash by the schedule date of pay</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in irrespective of the value of collaterals available with </w:t>
      </w:r>
      <w:r w:rsidR="00303A7D"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w:t>
      </w:r>
    </w:p>
    <w:p w:rsidR="004E3001" w:rsidRPr="00E65649" w:rsidRDefault="004E3001" w:rsidP="004E3001">
      <w:p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Clear proceeds of the cheque deposited by the client to meet the pay</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in obligations have not yet been received by </w:t>
      </w:r>
      <w:r w:rsidR="00303A7D"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w:t>
      </w:r>
    </w:p>
    <w:p w:rsidR="004E3001" w:rsidRPr="00E65649" w:rsidRDefault="004E3001" w:rsidP="004E3001">
      <w:p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 Client is trading “ill quid” scrips and volumes in his account exceed internal cut off limit fixed by </w:t>
      </w:r>
      <w:r w:rsidR="00303A7D"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w:t>
      </w:r>
    </w:p>
    <w:p w:rsidR="004E3001" w:rsidRPr="00E65649" w:rsidRDefault="004E3001" w:rsidP="0093792D">
      <w:pPr>
        <w:pStyle w:val="ListParagraph"/>
        <w:numPr>
          <w:ilvl w:val="0"/>
          <w:numId w:val="3"/>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F&amp;O Segment:</w:t>
      </w:r>
    </w:p>
    <w:p w:rsidR="004E3001" w:rsidRPr="00E65649" w:rsidRDefault="004E3001" w:rsidP="004E3001">
      <w:pPr>
        <w:shd w:val="clear" w:color="auto" w:fill="FFFFFF"/>
        <w:spacing w:after="225" w:line="240" w:lineRule="auto"/>
        <w:ind w:firstLine="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The client has not made payment for Market to Market loss in Ledger</w:t>
      </w:r>
    </w:p>
    <w:p w:rsidR="004E3001" w:rsidRPr="00E65649" w:rsidRDefault="004E3001" w:rsidP="004E3001">
      <w:p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The “open” positions in a contract exceeded or are close to market wide cut off limits or client wise permissible positions by exchange</w:t>
      </w:r>
    </w:p>
    <w:p w:rsidR="004E3001" w:rsidRPr="00E65649" w:rsidRDefault="000537F1" w:rsidP="0093792D">
      <w:pPr>
        <w:pStyle w:val="ListParagraph"/>
        <w:numPr>
          <w:ilvl w:val="0"/>
          <w:numId w:val="3"/>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Intra-day</w:t>
      </w:r>
      <w:r w:rsidR="004E3001" w:rsidRPr="00E65649">
        <w:rPr>
          <w:rFonts w:ascii="Book Antiqua" w:eastAsia="Times New Roman" w:hAnsi="Book Antiqua"/>
          <w:sz w:val="24"/>
          <w:szCs w:val="24"/>
          <w:lang w:eastAsia="en-IN"/>
        </w:rPr>
        <w:t>:</w:t>
      </w:r>
    </w:p>
    <w:p w:rsidR="004E3001" w:rsidRPr="00E65649" w:rsidRDefault="004E3001" w:rsidP="004E3001">
      <w:pPr>
        <w:shd w:val="clear" w:color="auto" w:fill="FFFFFF"/>
        <w:spacing w:after="225" w:line="240" w:lineRule="auto"/>
        <w:ind w:left="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Clients will not be able to place intra</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day orders after a cut</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off time fixed by </w:t>
      </w:r>
      <w:r w:rsidR="00303A7D"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 (15 minutes prior to close of market)</w:t>
      </w:r>
    </w:p>
    <w:p w:rsidR="004E3001" w:rsidRPr="00E65649" w:rsidRDefault="004E3001" w:rsidP="004E3001">
      <w:pPr>
        <w:shd w:val="clear" w:color="auto" w:fill="FFFFFF"/>
        <w:spacing w:after="225" w:line="240" w:lineRule="auto"/>
        <w:ind w:firstLine="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E. Event Based:</w:t>
      </w:r>
    </w:p>
    <w:p w:rsidR="004E3001" w:rsidRPr="00E65649" w:rsidRDefault="004E3001" w:rsidP="004E3001">
      <w:pPr>
        <w:shd w:val="clear" w:color="auto" w:fill="FFFFFF"/>
        <w:spacing w:after="225" w:line="240" w:lineRule="auto"/>
        <w:ind w:left="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 Where based on a corporate / market event, </w:t>
      </w:r>
      <w:r w:rsidR="00303A7D"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has the risk perception that further trading in the securities /contracts may not be allowed to its clients and/or the market.</w:t>
      </w:r>
    </w:p>
    <w:p w:rsidR="004E3001" w:rsidRPr="00E65649" w:rsidRDefault="004E3001" w:rsidP="004E3001">
      <w:pPr>
        <w:shd w:val="clear" w:color="auto" w:fill="FFFFFF"/>
        <w:spacing w:after="225" w:line="240" w:lineRule="auto"/>
        <w:jc w:val="both"/>
        <w:rPr>
          <w:rFonts w:ascii="Book Antiqua" w:eastAsia="Times New Roman" w:hAnsi="Book Antiqua"/>
          <w:b/>
          <w:bCs/>
          <w:sz w:val="24"/>
          <w:szCs w:val="24"/>
          <w:lang w:eastAsia="en-IN"/>
        </w:rPr>
      </w:pPr>
    </w:p>
    <w:p w:rsidR="00740207"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sz w:val="24"/>
          <w:szCs w:val="24"/>
          <w:lang w:eastAsia="en-IN"/>
        </w:rPr>
      </w:pPr>
      <w:bookmarkStart w:id="18" w:name="_Toc168412293"/>
      <w:r w:rsidRPr="00E65649">
        <w:rPr>
          <w:rFonts w:ascii="Book Antiqua" w:eastAsia="Times New Roman" w:hAnsi="Book Antiqua"/>
          <w:b/>
          <w:sz w:val="24"/>
          <w:szCs w:val="24"/>
          <w:lang w:eastAsia="en-IN"/>
        </w:rPr>
        <w:t>Temporarily suspending or closing a client’s account</w:t>
      </w:r>
      <w:bookmarkEnd w:id="18"/>
    </w:p>
    <w:p w:rsidR="00740207" w:rsidRPr="00E65649" w:rsidRDefault="00740207" w:rsidP="00740207">
      <w:pPr>
        <w:pStyle w:val="ListParagraph"/>
        <w:shd w:val="clear" w:color="auto" w:fill="FFFFFF"/>
        <w:spacing w:after="225" w:line="240" w:lineRule="auto"/>
        <w:ind w:left="360"/>
        <w:jc w:val="both"/>
        <w:rPr>
          <w:rFonts w:ascii="Book Antiqua" w:eastAsia="Times New Roman" w:hAnsi="Book Antiqua"/>
          <w:b/>
          <w:sz w:val="24"/>
          <w:szCs w:val="24"/>
          <w:lang w:eastAsia="en-IN"/>
        </w:rPr>
      </w:pPr>
    </w:p>
    <w:p w:rsidR="00740207" w:rsidRPr="00E65649" w:rsidRDefault="00740207" w:rsidP="00740207">
      <w:pPr>
        <w:pStyle w:val="ListParagraph"/>
        <w:shd w:val="clear" w:color="auto" w:fill="FFFFFF"/>
        <w:spacing w:after="225" w:line="240" w:lineRule="auto"/>
        <w:ind w:left="360"/>
        <w:jc w:val="both"/>
        <w:rPr>
          <w:rFonts w:ascii="Book Antiqua" w:eastAsia="Times New Roman" w:hAnsi="Book Antiqua"/>
          <w:b/>
          <w:sz w:val="24"/>
          <w:szCs w:val="24"/>
          <w:lang w:eastAsia="en-IN"/>
        </w:rPr>
      </w:pPr>
    </w:p>
    <w:p w:rsidR="00740207" w:rsidRPr="00E65649" w:rsidRDefault="00303A7D" w:rsidP="00740207">
      <w:pPr>
        <w:pStyle w:val="ListParagraph"/>
        <w:shd w:val="clear" w:color="auto" w:fill="FFFFFF"/>
        <w:spacing w:after="225" w:line="240" w:lineRule="auto"/>
        <w:ind w:left="36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may carry a periodic review of the client accounts and may suspend the accounts from trading in the following circumstances:</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client </w:t>
      </w:r>
      <w:r w:rsidR="00FD5ED8" w:rsidRPr="00E65649">
        <w:rPr>
          <w:rFonts w:ascii="Book Antiqua" w:eastAsia="Times New Roman" w:hAnsi="Book Antiqua"/>
          <w:sz w:val="24"/>
          <w:szCs w:val="24"/>
          <w:lang w:eastAsia="en-IN"/>
        </w:rPr>
        <w:t xml:space="preserve">has not traded </w:t>
      </w:r>
      <w:r w:rsidRPr="00E65649">
        <w:rPr>
          <w:rFonts w:ascii="Book Antiqua" w:eastAsia="Times New Roman" w:hAnsi="Book Antiqua"/>
          <w:sz w:val="24"/>
          <w:szCs w:val="24"/>
          <w:lang w:eastAsia="en-IN"/>
        </w:rPr>
        <w:t>for more than 12 months.</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The account is under investigation by any regulatory body.</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Based on the recommendations made by the branch manager due to excessive speculations, unclear balances</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Physical contract  notes  are  received  back  undelivered  due  to reasons  like  “no  such  person”, “Addressee” left, refusal to accept mails, signature mismatch on POD’s or other reasons which may create suspicion.</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ECN failed (bounced email) on more than 3 instances until client submits and registers new email id.</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Non</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delivery of the Statement of Account sent on periodic basis.</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Non</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Updation of communication details viz., email id, mobile no., landline details or it is found to be belonging to a third person.</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Client  lodges  a  complaint  either  directly with  </w:t>
      </w:r>
      <w:r w:rsidR="00CF0429"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Pr="00E65649">
        <w:rPr>
          <w:rFonts w:ascii="Book Antiqua" w:eastAsia="Times New Roman" w:hAnsi="Book Antiqua"/>
          <w:sz w:val="24"/>
          <w:szCs w:val="24"/>
          <w:lang w:eastAsia="en-IN"/>
        </w:rPr>
        <w:t>or  through  Exchange  relating  alleged Unauthorized Trades being executed in the account.</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On notices received from statutory, Government or Local authorities and Income Tax, a Judicial or Quasi</w:t>
      </w:r>
      <w:r w:rsidRPr="00E65649">
        <w:rPr>
          <w:rFonts w:ascii="Cambria Math" w:eastAsia="Times New Roman" w:hAnsi="Cambria Math" w:cs="Cambria Math"/>
          <w:sz w:val="24"/>
          <w:szCs w:val="24"/>
          <w:lang w:eastAsia="en-IN"/>
        </w:rPr>
        <w:t>‐</w:t>
      </w:r>
      <w:r w:rsidRPr="00E65649">
        <w:rPr>
          <w:rFonts w:ascii="Book Antiqua" w:eastAsia="Times New Roman" w:hAnsi="Book Antiqua"/>
          <w:sz w:val="24"/>
          <w:szCs w:val="24"/>
          <w:lang w:eastAsia="en-IN"/>
        </w:rPr>
        <w:t xml:space="preserve"> Judicial authority, etc.</w:t>
      </w:r>
    </w:p>
    <w:p w:rsidR="00740207" w:rsidRPr="00E65649" w:rsidRDefault="004E3001"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Client is reported to or known to have expired.</w:t>
      </w:r>
    </w:p>
    <w:p w:rsidR="004E3001" w:rsidRPr="00E65649" w:rsidRDefault="00585E82" w:rsidP="0093792D">
      <w:pPr>
        <w:pStyle w:val="ListParagraph"/>
        <w:numPr>
          <w:ilvl w:val="0"/>
          <w:numId w:val="8"/>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4E3001" w:rsidRPr="00E65649">
        <w:rPr>
          <w:rFonts w:ascii="Book Antiqua" w:eastAsia="Times New Roman" w:hAnsi="Book Antiqua"/>
          <w:sz w:val="24"/>
          <w:szCs w:val="24"/>
          <w:lang w:eastAsia="en-IN"/>
        </w:rPr>
        <w:t xml:space="preserve"> may also suspend the account based on the written request received from the client.</w:t>
      </w:r>
    </w:p>
    <w:p w:rsidR="004E3001" w:rsidRPr="00E65649" w:rsidRDefault="004E3001" w:rsidP="004E3001">
      <w:p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w:t>
      </w:r>
    </w:p>
    <w:p w:rsidR="00740207"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sz w:val="24"/>
          <w:szCs w:val="24"/>
          <w:lang w:eastAsia="en-IN"/>
        </w:rPr>
      </w:pPr>
      <w:bookmarkStart w:id="19" w:name="_Toc168412294"/>
      <w:r w:rsidRPr="00E65649">
        <w:rPr>
          <w:rFonts w:ascii="Book Antiqua" w:eastAsia="Times New Roman" w:hAnsi="Book Antiqua"/>
          <w:b/>
          <w:sz w:val="24"/>
          <w:szCs w:val="24"/>
          <w:lang w:eastAsia="en-IN"/>
        </w:rPr>
        <w:t>Deregistering a client</w:t>
      </w:r>
      <w:bookmarkEnd w:id="19"/>
    </w:p>
    <w:p w:rsidR="00740207" w:rsidRPr="00E65649" w:rsidRDefault="00740207" w:rsidP="00740207">
      <w:pPr>
        <w:pStyle w:val="ListParagraph"/>
        <w:shd w:val="clear" w:color="auto" w:fill="FFFFFF"/>
        <w:spacing w:after="225" w:line="240" w:lineRule="auto"/>
        <w:ind w:left="360"/>
        <w:jc w:val="both"/>
        <w:rPr>
          <w:rFonts w:ascii="Book Antiqua" w:eastAsia="Times New Roman" w:hAnsi="Book Antiqua"/>
          <w:sz w:val="24"/>
          <w:szCs w:val="24"/>
          <w:lang w:eastAsia="en-IN"/>
        </w:rPr>
      </w:pPr>
    </w:p>
    <w:p w:rsidR="00740207" w:rsidRPr="00E65649" w:rsidRDefault="00A46C08" w:rsidP="0093792D">
      <w:pPr>
        <w:pStyle w:val="ListParagraph"/>
        <w:numPr>
          <w:ilvl w:val="0"/>
          <w:numId w:val="9"/>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may de</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register the client account based on action taken by SEBI/NSE/BSE or being part of list of debarred entities published by SEBI.</w:t>
      </w:r>
    </w:p>
    <w:p w:rsidR="00740207" w:rsidRPr="00E65649" w:rsidRDefault="00A46C08" w:rsidP="0093792D">
      <w:pPr>
        <w:pStyle w:val="ListParagraph"/>
        <w:numPr>
          <w:ilvl w:val="0"/>
          <w:numId w:val="9"/>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may also initiate action for deregistering a client on basis of information found in sites of CIBIL</w:t>
      </w:r>
      <w:r w:rsidR="002305AD" w:rsidRPr="00E65649">
        <w:rPr>
          <w:rFonts w:ascii="Book Antiqua" w:eastAsia="Times New Roman" w:hAnsi="Book Antiqua"/>
          <w:sz w:val="24"/>
          <w:szCs w:val="24"/>
          <w:lang w:eastAsia="en-IN"/>
        </w:rPr>
        <w:t xml:space="preserve"> or any other credit rating agency</w:t>
      </w:r>
      <w:r w:rsidR="004E3001" w:rsidRPr="00E65649">
        <w:rPr>
          <w:rFonts w:ascii="Book Antiqua" w:eastAsia="Times New Roman" w:hAnsi="Book Antiqua"/>
          <w:sz w:val="24"/>
          <w:szCs w:val="24"/>
          <w:lang w:eastAsia="en-IN"/>
        </w:rPr>
        <w:t xml:space="preserve"> or client having suspicious back ground, link with suspicious organization, etc.</w:t>
      </w:r>
    </w:p>
    <w:p w:rsidR="00740207" w:rsidRPr="00E65649" w:rsidRDefault="00A46C08" w:rsidP="0093792D">
      <w:pPr>
        <w:pStyle w:val="ListParagraph"/>
        <w:numPr>
          <w:ilvl w:val="0"/>
          <w:numId w:val="9"/>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shall have the right to close out the existing positions; sell the collaterals to recover its dues, if any, before de</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regis</w:t>
      </w:r>
      <w:r w:rsidR="00380F75" w:rsidRPr="00E65649">
        <w:rPr>
          <w:rFonts w:ascii="Book Antiqua" w:eastAsia="Times New Roman" w:hAnsi="Book Antiqua"/>
          <w:sz w:val="24"/>
          <w:szCs w:val="24"/>
          <w:lang w:eastAsia="en-IN"/>
        </w:rPr>
        <w:t>t</w:t>
      </w:r>
      <w:r w:rsidR="004E3001" w:rsidRPr="00E65649">
        <w:rPr>
          <w:rFonts w:ascii="Book Antiqua" w:eastAsia="Times New Roman" w:hAnsi="Book Antiqua"/>
          <w:sz w:val="24"/>
          <w:szCs w:val="24"/>
          <w:lang w:eastAsia="en-IN"/>
        </w:rPr>
        <w:t>ering the client.</w:t>
      </w:r>
    </w:p>
    <w:p w:rsidR="004E3001" w:rsidRPr="00E65649" w:rsidRDefault="00A46C08" w:rsidP="0093792D">
      <w:pPr>
        <w:pStyle w:val="ListParagraph"/>
        <w:numPr>
          <w:ilvl w:val="0"/>
          <w:numId w:val="9"/>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397286" w:rsidRPr="00E65649">
        <w:rPr>
          <w:rFonts w:ascii="Book Antiqua" w:eastAsia="Times New Roman" w:hAnsi="Book Antiqua"/>
          <w:sz w:val="24"/>
          <w:szCs w:val="24"/>
          <w:lang w:eastAsia="en-IN"/>
        </w:rPr>
        <w:t>TM</w:t>
      </w:r>
      <w:r w:rsidR="00526448">
        <w:rPr>
          <w:rFonts w:ascii="Book Antiqua" w:eastAsia="Times New Roman" w:hAnsi="Book Antiqua"/>
          <w:sz w:val="24"/>
          <w:szCs w:val="24"/>
          <w:lang w:eastAsia="en-IN"/>
        </w:rPr>
        <w:t xml:space="preserve"> </w:t>
      </w:r>
      <w:r w:rsidR="004E3001" w:rsidRPr="00E65649">
        <w:rPr>
          <w:rFonts w:ascii="Book Antiqua" w:eastAsia="Times New Roman" w:hAnsi="Book Antiqua"/>
          <w:sz w:val="24"/>
          <w:szCs w:val="24"/>
          <w:lang w:eastAsia="en-IN"/>
        </w:rPr>
        <w:t>may freeze the assets of the client where it deems prudent, at time of de</w:t>
      </w:r>
      <w:r w:rsidR="004E3001" w:rsidRPr="00E65649">
        <w:rPr>
          <w:rFonts w:ascii="Cambria Math" w:eastAsia="Times New Roman" w:hAnsi="Cambria Math" w:cs="Cambria Math"/>
          <w:sz w:val="24"/>
          <w:szCs w:val="24"/>
          <w:lang w:eastAsia="en-IN"/>
        </w:rPr>
        <w:t>‐</w:t>
      </w:r>
      <w:r w:rsidR="004E3001" w:rsidRPr="00E65649">
        <w:rPr>
          <w:rFonts w:ascii="Book Antiqua" w:eastAsia="Times New Roman" w:hAnsi="Book Antiqua"/>
          <w:sz w:val="24"/>
          <w:szCs w:val="24"/>
          <w:lang w:eastAsia="en-IN"/>
        </w:rPr>
        <w:t>registering a client.</w:t>
      </w:r>
    </w:p>
    <w:p w:rsidR="004E3001" w:rsidRPr="00E65649" w:rsidRDefault="004E3001" w:rsidP="004E3001">
      <w:pPr>
        <w:shd w:val="clear" w:color="auto" w:fill="FFFFFF"/>
        <w:spacing w:after="225" w:line="240" w:lineRule="auto"/>
        <w:jc w:val="both"/>
        <w:rPr>
          <w:rFonts w:ascii="Book Antiqua" w:eastAsia="Times New Roman" w:hAnsi="Book Antiqua"/>
          <w:sz w:val="24"/>
          <w:szCs w:val="24"/>
          <w:lang w:eastAsia="en-IN"/>
        </w:rPr>
      </w:pPr>
    </w:p>
    <w:p w:rsidR="004D3AB6" w:rsidRPr="00E65649" w:rsidRDefault="004E3001" w:rsidP="008B09EA">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20" w:name="_Toc168412295"/>
      <w:r w:rsidRPr="00E65649">
        <w:rPr>
          <w:rFonts w:ascii="Book Antiqua" w:eastAsia="Times New Roman" w:hAnsi="Book Antiqua"/>
          <w:b/>
          <w:sz w:val="24"/>
          <w:szCs w:val="24"/>
          <w:lang w:eastAsia="en-IN"/>
        </w:rPr>
        <w:t>Procedure for Activation of in</w:t>
      </w:r>
      <w:r w:rsidRPr="00E65649">
        <w:rPr>
          <w:rFonts w:ascii="Cambria Math" w:eastAsia="Times New Roman" w:hAnsi="Cambria Math" w:cs="Cambria Math"/>
          <w:b/>
          <w:sz w:val="24"/>
          <w:szCs w:val="24"/>
          <w:lang w:eastAsia="en-IN"/>
        </w:rPr>
        <w:t>‐</w:t>
      </w:r>
      <w:r w:rsidRPr="00E65649">
        <w:rPr>
          <w:rFonts w:ascii="Book Antiqua" w:eastAsia="Times New Roman" w:hAnsi="Book Antiqua"/>
          <w:b/>
          <w:sz w:val="24"/>
          <w:szCs w:val="24"/>
          <w:lang w:eastAsia="en-IN"/>
        </w:rPr>
        <w:t>operative accounts</w:t>
      </w:r>
      <w:bookmarkEnd w:id="20"/>
    </w:p>
    <w:p w:rsidR="008B09EA" w:rsidRPr="00E65649" w:rsidRDefault="008B09EA" w:rsidP="008B09EA">
      <w:pPr>
        <w:pStyle w:val="ListParagraph"/>
        <w:shd w:val="clear" w:color="auto" w:fill="FFFFFF"/>
        <w:spacing w:after="225" w:line="240" w:lineRule="auto"/>
        <w:ind w:left="360"/>
        <w:jc w:val="both"/>
        <w:outlineLvl w:val="1"/>
        <w:rPr>
          <w:rFonts w:ascii="Book Antiqua" w:eastAsia="Times New Roman" w:hAnsi="Book Antiqua"/>
          <w:b/>
          <w:sz w:val="24"/>
          <w:szCs w:val="24"/>
          <w:lang w:eastAsia="en-IN"/>
        </w:rPr>
      </w:pPr>
    </w:p>
    <w:p w:rsidR="00740207" w:rsidRPr="00E65649" w:rsidRDefault="004E3001" w:rsidP="0093792D">
      <w:pPr>
        <w:pStyle w:val="ListParagraph"/>
        <w:numPr>
          <w:ilvl w:val="0"/>
          <w:numId w:val="10"/>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Any client not doing single transaction in</w:t>
      </w:r>
      <w:r w:rsidR="00B23DBD">
        <w:rPr>
          <w:rFonts w:ascii="Book Antiqua" w:eastAsia="Times New Roman" w:hAnsi="Book Antiqua"/>
          <w:sz w:val="24"/>
          <w:szCs w:val="24"/>
          <w:lang w:eastAsia="en-IN"/>
        </w:rPr>
        <w:t xml:space="preserve"> </w:t>
      </w:r>
      <w:r w:rsidRPr="00E65649">
        <w:rPr>
          <w:rFonts w:ascii="Book Antiqua" w:eastAsia="Times New Roman" w:hAnsi="Book Antiqua"/>
          <w:sz w:val="24"/>
          <w:szCs w:val="24"/>
          <w:lang w:eastAsia="en-IN"/>
        </w:rPr>
        <w:t xml:space="preserve">trading account with </w:t>
      </w:r>
      <w:r w:rsidR="00752834" w:rsidRPr="00E65649">
        <w:rPr>
          <w:rFonts w:ascii="Book Antiqua" w:eastAsia="Times New Roman" w:hAnsi="Book Antiqua"/>
          <w:sz w:val="24"/>
          <w:szCs w:val="24"/>
          <w:lang w:eastAsia="en-IN"/>
        </w:rPr>
        <w:t xml:space="preserve">the TM </w:t>
      </w:r>
      <w:r w:rsidRPr="00E65649">
        <w:rPr>
          <w:rFonts w:ascii="Book Antiqua" w:eastAsia="Times New Roman" w:hAnsi="Book Antiqua"/>
          <w:sz w:val="24"/>
          <w:szCs w:val="24"/>
          <w:lang w:eastAsia="en-IN"/>
        </w:rPr>
        <w:t>for a period of 12 months is marked as ‘Dormant’.</w:t>
      </w:r>
    </w:p>
    <w:p w:rsidR="004E3001" w:rsidRPr="00E65649" w:rsidRDefault="004E3001" w:rsidP="0093792D">
      <w:pPr>
        <w:pStyle w:val="ListParagraph"/>
        <w:numPr>
          <w:ilvl w:val="0"/>
          <w:numId w:val="10"/>
        </w:num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To activate these dormant / inoperative accounts, clients require filling up a dormant activation form and providing the other related documents and details as per applicable guidelines from time to time.</w:t>
      </w:r>
    </w:p>
    <w:p w:rsidR="004E3001" w:rsidRPr="00E65649" w:rsidRDefault="004E3001" w:rsidP="004E3001">
      <w:pPr>
        <w:shd w:val="clear" w:color="auto" w:fill="FFFFFF"/>
        <w:spacing w:after="225" w:line="240" w:lineRule="auto"/>
        <w:jc w:val="both"/>
        <w:rPr>
          <w:rFonts w:ascii="Book Antiqua" w:eastAsia="Times New Roman" w:hAnsi="Book Antiqua"/>
          <w:sz w:val="24"/>
          <w:szCs w:val="24"/>
          <w:lang w:eastAsia="en-IN"/>
        </w:rPr>
      </w:pPr>
    </w:p>
    <w:p w:rsidR="004E3001"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21" w:name="_Toc168412296"/>
      <w:r w:rsidRPr="00E65649">
        <w:rPr>
          <w:rFonts w:ascii="Book Antiqua" w:eastAsia="Times New Roman" w:hAnsi="Book Antiqua"/>
          <w:b/>
          <w:sz w:val="24"/>
          <w:szCs w:val="24"/>
          <w:lang w:eastAsia="en-IN"/>
        </w:rPr>
        <w:t>Intimation to clients</w:t>
      </w:r>
      <w:bookmarkEnd w:id="21"/>
    </w:p>
    <w:p w:rsidR="004E3001" w:rsidRDefault="004E3001" w:rsidP="004E3001">
      <w:pPr>
        <w:shd w:val="clear" w:color="auto" w:fill="FFFFFF"/>
        <w:spacing w:after="225" w:line="240" w:lineRule="auto"/>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Client can view details of his/her ledger, holdings, margin etc. via secured login on internet login provided to client. Regular intimations regarding debit, information about margin shortage with penalty amount communication regarding liquidation is sent through SMS and email on the clients’ registered mobile number and email address respectively.</w:t>
      </w:r>
    </w:p>
    <w:p w:rsidR="004E3001" w:rsidRPr="00B23DBD" w:rsidRDefault="008B54CE" w:rsidP="00346638">
      <w:pPr>
        <w:pStyle w:val="ListParagraph"/>
        <w:numPr>
          <w:ilvl w:val="0"/>
          <w:numId w:val="1"/>
        </w:numPr>
        <w:shd w:val="clear" w:color="auto" w:fill="FFFFFF"/>
        <w:spacing w:after="225" w:line="240" w:lineRule="auto"/>
        <w:ind w:left="360"/>
        <w:jc w:val="both"/>
        <w:rPr>
          <w:rFonts w:ascii="Book Antiqua" w:eastAsia="Times New Roman" w:hAnsi="Book Antiqua"/>
          <w:b/>
          <w:sz w:val="24"/>
          <w:szCs w:val="24"/>
          <w:lang w:eastAsia="en-IN"/>
        </w:rPr>
      </w:pPr>
      <w:r w:rsidRPr="00B23DBD">
        <w:rPr>
          <w:rFonts w:ascii="Book Antiqua" w:eastAsia="Times New Roman" w:hAnsi="Book Antiqua"/>
          <w:b/>
          <w:sz w:val="24"/>
          <w:szCs w:val="24"/>
          <w:lang w:eastAsia="en-IN"/>
        </w:rPr>
        <w:t>F</w:t>
      </w:r>
      <w:r w:rsidR="00346638" w:rsidRPr="00B23DBD">
        <w:rPr>
          <w:rFonts w:ascii="Book Antiqua" w:eastAsia="Times New Roman" w:hAnsi="Book Antiqua"/>
          <w:b/>
          <w:sz w:val="24"/>
          <w:szCs w:val="24"/>
          <w:lang w:eastAsia="en-IN"/>
        </w:rPr>
        <w:t xml:space="preserve">reezing/blocking the online access of </w:t>
      </w:r>
      <w:r w:rsidRPr="00B23DBD">
        <w:rPr>
          <w:rFonts w:ascii="Book Antiqua" w:eastAsia="Times New Roman" w:hAnsi="Book Antiqua"/>
          <w:b/>
          <w:sz w:val="24"/>
          <w:szCs w:val="24"/>
          <w:lang w:eastAsia="en-IN"/>
        </w:rPr>
        <w:t xml:space="preserve">client </w:t>
      </w:r>
      <w:r w:rsidR="00346638" w:rsidRPr="00B23DBD">
        <w:rPr>
          <w:rFonts w:ascii="Book Antiqua" w:eastAsia="Times New Roman" w:hAnsi="Book Antiqua"/>
          <w:b/>
          <w:sz w:val="24"/>
          <w:szCs w:val="24"/>
          <w:lang w:eastAsia="en-IN"/>
        </w:rPr>
        <w:t xml:space="preserve">trading account </w:t>
      </w:r>
    </w:p>
    <w:p w:rsidR="008B54CE" w:rsidRPr="00B23DBD" w:rsidRDefault="008B54CE" w:rsidP="00346638">
      <w:pPr>
        <w:pStyle w:val="ListParagraph"/>
        <w:shd w:val="clear" w:color="auto" w:fill="FFFFFF"/>
        <w:spacing w:after="225" w:line="240" w:lineRule="auto"/>
        <w:ind w:left="360"/>
        <w:jc w:val="both"/>
        <w:outlineLvl w:val="1"/>
        <w:rPr>
          <w:rFonts w:ascii="Book Antiqua" w:eastAsia="Times New Roman" w:hAnsi="Book Antiqua"/>
          <w:b/>
          <w:sz w:val="24"/>
          <w:szCs w:val="24"/>
          <w:lang w:eastAsia="en-IN"/>
        </w:rPr>
      </w:pPr>
    </w:p>
    <w:p w:rsidR="00346638" w:rsidRPr="000F619E" w:rsidRDefault="000F619E" w:rsidP="008B54CE">
      <w:pPr>
        <w:shd w:val="clear" w:color="auto" w:fill="FFFFFF"/>
        <w:spacing w:after="225" w:line="240" w:lineRule="auto"/>
        <w:jc w:val="both"/>
        <w:outlineLvl w:val="1"/>
        <w:rPr>
          <w:rFonts w:ascii="Book Antiqua" w:eastAsia="Times New Roman" w:hAnsi="Book Antiqua"/>
          <w:sz w:val="24"/>
          <w:szCs w:val="24"/>
          <w:lang w:eastAsia="en-IN"/>
        </w:rPr>
      </w:pPr>
      <w:r w:rsidRPr="00B23DBD">
        <w:rPr>
          <w:rFonts w:ascii="Book Antiqua" w:eastAsia="Times New Roman" w:hAnsi="Book Antiqua"/>
          <w:sz w:val="24"/>
          <w:szCs w:val="24"/>
          <w:lang w:eastAsia="en-IN"/>
        </w:rPr>
        <w:t>The</w:t>
      </w:r>
      <w:r w:rsidR="006C07AB" w:rsidRPr="00B23DBD">
        <w:rPr>
          <w:rFonts w:ascii="Book Antiqua" w:eastAsia="Times New Roman" w:hAnsi="Book Antiqua"/>
          <w:sz w:val="24"/>
          <w:szCs w:val="24"/>
          <w:lang w:eastAsia="en-IN"/>
        </w:rPr>
        <w:t xml:space="preserve"> TM</w:t>
      </w:r>
      <w:r w:rsidR="00B23DBD">
        <w:rPr>
          <w:rFonts w:ascii="Book Antiqua" w:eastAsia="Times New Roman" w:hAnsi="Book Antiqua"/>
          <w:sz w:val="24"/>
          <w:szCs w:val="24"/>
          <w:lang w:eastAsia="en-IN"/>
        </w:rPr>
        <w:t xml:space="preserve"> </w:t>
      </w:r>
      <w:r w:rsidR="00877346" w:rsidRPr="00B23DBD">
        <w:rPr>
          <w:rFonts w:ascii="Book Antiqua" w:eastAsia="Times New Roman" w:hAnsi="Book Antiqua"/>
          <w:sz w:val="24"/>
          <w:szCs w:val="24"/>
          <w:lang w:eastAsia="en-IN"/>
        </w:rPr>
        <w:t xml:space="preserve">shall </w:t>
      </w:r>
      <w:r w:rsidR="00A45651" w:rsidRPr="00B23DBD">
        <w:rPr>
          <w:rFonts w:ascii="Book Antiqua" w:eastAsia="Times New Roman" w:hAnsi="Book Antiqua"/>
          <w:sz w:val="24"/>
          <w:szCs w:val="24"/>
          <w:lang w:eastAsia="en-IN"/>
        </w:rPr>
        <w:t xml:space="preserve">follow procedure laid down in </w:t>
      </w:r>
      <w:r w:rsidR="00E967BC" w:rsidRPr="00B23DBD">
        <w:rPr>
          <w:rFonts w:ascii="Book Antiqua" w:eastAsia="Times New Roman" w:hAnsi="Book Antiqua"/>
          <w:sz w:val="24"/>
          <w:szCs w:val="24"/>
          <w:lang w:eastAsia="en-IN"/>
        </w:rPr>
        <w:t xml:space="preserve">policy on </w:t>
      </w:r>
      <w:r w:rsidR="00E623F4" w:rsidRPr="00B23DBD">
        <w:rPr>
          <w:rFonts w:ascii="Book Antiqua" w:eastAsia="Times New Roman" w:hAnsi="Book Antiqua"/>
          <w:sz w:val="24"/>
          <w:szCs w:val="24"/>
          <w:lang w:eastAsia="en-IN"/>
        </w:rPr>
        <w:t>“</w:t>
      </w:r>
      <w:r w:rsidR="00A45651" w:rsidRPr="00B23DBD">
        <w:rPr>
          <w:rFonts w:ascii="Book Antiqua" w:eastAsia="Times New Roman" w:hAnsi="Book Antiqua"/>
          <w:sz w:val="24"/>
          <w:szCs w:val="24"/>
          <w:lang w:eastAsia="en-IN"/>
        </w:rPr>
        <w:t>F</w:t>
      </w:r>
      <w:r w:rsidR="00E623F4" w:rsidRPr="00B23DBD">
        <w:rPr>
          <w:rFonts w:ascii="Book Antiqua" w:eastAsia="Times New Roman" w:hAnsi="Book Antiqua"/>
          <w:sz w:val="24"/>
          <w:szCs w:val="24"/>
          <w:lang w:eastAsia="en-IN"/>
        </w:rPr>
        <w:t xml:space="preserve">reezing/blocking the online access of client trading account” </w:t>
      </w:r>
      <w:r w:rsidR="00877346" w:rsidRPr="00B23DBD">
        <w:rPr>
          <w:rFonts w:ascii="Book Antiqua" w:eastAsia="Times New Roman" w:hAnsi="Book Antiqua"/>
          <w:sz w:val="24"/>
          <w:szCs w:val="24"/>
          <w:lang w:eastAsia="en-IN"/>
        </w:rPr>
        <w:t>frame</w:t>
      </w:r>
      <w:r w:rsidR="00E623F4" w:rsidRPr="00B23DBD">
        <w:rPr>
          <w:rFonts w:ascii="Book Antiqua" w:eastAsia="Times New Roman" w:hAnsi="Book Antiqua"/>
          <w:sz w:val="24"/>
          <w:szCs w:val="24"/>
          <w:lang w:eastAsia="en-IN"/>
        </w:rPr>
        <w:t>d</w:t>
      </w:r>
      <w:r w:rsidR="00B23DBD">
        <w:rPr>
          <w:rFonts w:ascii="Book Antiqua" w:eastAsia="Times New Roman" w:hAnsi="Book Antiqua"/>
          <w:sz w:val="24"/>
          <w:szCs w:val="24"/>
          <w:lang w:eastAsia="en-IN"/>
        </w:rPr>
        <w:t xml:space="preserve"> </w:t>
      </w:r>
      <w:r w:rsidR="00E623F4" w:rsidRPr="00B23DBD">
        <w:rPr>
          <w:rFonts w:ascii="Book Antiqua" w:eastAsia="Times New Roman" w:hAnsi="Book Antiqua"/>
          <w:sz w:val="24"/>
          <w:szCs w:val="24"/>
          <w:lang w:eastAsia="en-IN"/>
        </w:rPr>
        <w:t xml:space="preserve">in accordance with </w:t>
      </w:r>
      <w:r w:rsidR="00F435D0" w:rsidRPr="00B23DBD">
        <w:rPr>
          <w:rFonts w:ascii="Book Antiqua" w:eastAsia="Times New Roman" w:hAnsi="Book Antiqua"/>
          <w:sz w:val="24"/>
          <w:szCs w:val="24"/>
          <w:lang w:eastAsia="en-IN"/>
        </w:rPr>
        <w:t xml:space="preserve">SEBI circular SEBI/HO/MIRSD/POD-1/P/CIR/2024/4 dated </w:t>
      </w:r>
      <w:r w:rsidR="00D4665F" w:rsidRPr="00B23DBD">
        <w:rPr>
          <w:rFonts w:ascii="Book Antiqua" w:eastAsia="Times New Roman" w:hAnsi="Book Antiqua"/>
          <w:sz w:val="24"/>
          <w:szCs w:val="24"/>
          <w:lang w:eastAsia="en-IN"/>
        </w:rPr>
        <w:t>12/01/</w:t>
      </w:r>
      <w:r w:rsidR="00F435D0" w:rsidRPr="00B23DBD">
        <w:rPr>
          <w:rFonts w:ascii="Book Antiqua" w:eastAsia="Times New Roman" w:hAnsi="Book Antiqua"/>
          <w:sz w:val="24"/>
          <w:szCs w:val="24"/>
          <w:lang w:eastAsia="en-IN"/>
        </w:rPr>
        <w:t>2024</w:t>
      </w:r>
      <w:r w:rsidR="00D4665F" w:rsidRPr="00B23DBD">
        <w:rPr>
          <w:rFonts w:ascii="Book Antiqua" w:eastAsia="Times New Roman" w:hAnsi="Book Antiqua"/>
          <w:sz w:val="24"/>
          <w:szCs w:val="24"/>
          <w:lang w:eastAsia="en-IN"/>
        </w:rPr>
        <w:t>,</w:t>
      </w:r>
      <w:r w:rsidR="006920E3" w:rsidRPr="00B23DBD">
        <w:rPr>
          <w:rFonts w:ascii="Book Antiqua" w:eastAsia="Times New Roman" w:hAnsi="Book Antiqua"/>
          <w:sz w:val="24"/>
          <w:szCs w:val="24"/>
          <w:lang w:eastAsia="en-IN"/>
        </w:rPr>
        <w:t xml:space="preserve">NSE </w:t>
      </w:r>
      <w:r w:rsidR="00E623F4" w:rsidRPr="00B23DBD">
        <w:rPr>
          <w:rFonts w:ascii="Book Antiqua" w:eastAsia="Times New Roman" w:hAnsi="Book Antiqua"/>
          <w:sz w:val="24"/>
          <w:szCs w:val="24"/>
          <w:lang w:eastAsia="en-IN"/>
        </w:rPr>
        <w:t>circular NSE/INSP/61529 dated 08/04/2024</w:t>
      </w:r>
      <w:r w:rsidR="00D4665F" w:rsidRPr="00B23DBD">
        <w:rPr>
          <w:rFonts w:ascii="Book Antiqua" w:eastAsia="Times New Roman" w:hAnsi="Book Antiqua"/>
          <w:sz w:val="24"/>
          <w:szCs w:val="24"/>
          <w:lang w:eastAsia="en-IN"/>
        </w:rPr>
        <w:t xml:space="preserve"> and BSE circular 20240408-12 dated 08/04/2024</w:t>
      </w:r>
      <w:bookmarkStart w:id="22" w:name="_GoBack"/>
      <w:bookmarkEnd w:id="22"/>
      <w:r w:rsidR="00877346" w:rsidRPr="00B23DBD">
        <w:rPr>
          <w:rFonts w:ascii="Book Antiqua" w:eastAsia="Times New Roman" w:hAnsi="Book Antiqua"/>
          <w:sz w:val="24"/>
          <w:szCs w:val="24"/>
          <w:lang w:eastAsia="en-IN"/>
        </w:rPr>
        <w:t>.</w:t>
      </w:r>
    </w:p>
    <w:p w:rsidR="00346638" w:rsidRDefault="00346638" w:rsidP="00346638">
      <w:pPr>
        <w:pStyle w:val="ListParagraph"/>
        <w:shd w:val="clear" w:color="auto" w:fill="FFFFFF"/>
        <w:spacing w:after="225" w:line="240" w:lineRule="auto"/>
        <w:ind w:left="360"/>
        <w:jc w:val="both"/>
        <w:outlineLvl w:val="1"/>
        <w:rPr>
          <w:rFonts w:ascii="Book Antiqua" w:eastAsia="Times New Roman" w:hAnsi="Book Antiqua"/>
          <w:b/>
          <w:sz w:val="24"/>
          <w:szCs w:val="24"/>
          <w:lang w:eastAsia="en-IN"/>
        </w:rPr>
      </w:pPr>
    </w:p>
    <w:p w:rsidR="004E3001" w:rsidRPr="00E65649" w:rsidRDefault="004E3001" w:rsidP="007A3091">
      <w:pPr>
        <w:pStyle w:val="ListParagraph"/>
        <w:numPr>
          <w:ilvl w:val="0"/>
          <w:numId w:val="1"/>
        </w:numPr>
        <w:shd w:val="clear" w:color="auto" w:fill="FFFFFF"/>
        <w:spacing w:after="225" w:line="240" w:lineRule="auto"/>
        <w:ind w:left="360"/>
        <w:jc w:val="both"/>
        <w:outlineLvl w:val="1"/>
        <w:rPr>
          <w:rFonts w:ascii="Book Antiqua" w:eastAsia="Times New Roman" w:hAnsi="Book Antiqua"/>
          <w:b/>
          <w:sz w:val="24"/>
          <w:szCs w:val="24"/>
          <w:lang w:eastAsia="en-IN"/>
        </w:rPr>
      </w:pPr>
      <w:bookmarkStart w:id="23" w:name="_Toc168412297"/>
      <w:r w:rsidRPr="00E65649">
        <w:rPr>
          <w:rFonts w:ascii="Book Antiqua" w:eastAsia="Times New Roman" w:hAnsi="Book Antiqua"/>
          <w:b/>
          <w:sz w:val="24"/>
          <w:szCs w:val="24"/>
          <w:lang w:eastAsia="en-IN"/>
        </w:rPr>
        <w:t>Deviations</w:t>
      </w:r>
      <w:bookmarkEnd w:id="23"/>
    </w:p>
    <w:p w:rsidR="00506B15" w:rsidRPr="00E65649" w:rsidRDefault="00506B15" w:rsidP="00506B15">
      <w:pPr>
        <w:pStyle w:val="ListParagraph"/>
        <w:shd w:val="clear" w:color="auto" w:fill="FFFFFF"/>
        <w:spacing w:after="225" w:line="240" w:lineRule="auto"/>
        <w:ind w:left="360"/>
        <w:jc w:val="both"/>
        <w:rPr>
          <w:rFonts w:ascii="Book Antiqua" w:eastAsia="Times New Roman" w:hAnsi="Book Antiqua"/>
          <w:b/>
          <w:sz w:val="24"/>
          <w:szCs w:val="24"/>
          <w:lang w:eastAsia="en-IN"/>
        </w:rPr>
      </w:pPr>
    </w:p>
    <w:p w:rsidR="00506B15" w:rsidRPr="00E65649" w:rsidRDefault="00800BFC" w:rsidP="0093792D">
      <w:pPr>
        <w:pStyle w:val="ListParagraph"/>
        <w:numPr>
          <w:ilvl w:val="0"/>
          <w:numId w:val="11"/>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The </w:t>
      </w:r>
      <w:r w:rsidR="002F62DC" w:rsidRPr="00E65649">
        <w:rPr>
          <w:rFonts w:ascii="Book Antiqua" w:eastAsia="Times New Roman" w:hAnsi="Book Antiqua"/>
          <w:sz w:val="24"/>
          <w:szCs w:val="24"/>
          <w:lang w:eastAsia="en-IN"/>
        </w:rPr>
        <w:t xml:space="preserve">management of the </w:t>
      </w:r>
      <w:r w:rsidR="00397286" w:rsidRPr="00E65649">
        <w:rPr>
          <w:rFonts w:ascii="Book Antiqua" w:eastAsia="Times New Roman" w:hAnsi="Book Antiqua"/>
          <w:sz w:val="24"/>
          <w:szCs w:val="24"/>
          <w:lang w:eastAsia="en-IN"/>
        </w:rPr>
        <w:t>TM</w:t>
      </w:r>
      <w:r w:rsidR="00506B15" w:rsidRPr="00E65649">
        <w:rPr>
          <w:rFonts w:ascii="Book Antiqua" w:eastAsia="Times New Roman" w:hAnsi="Book Antiqua"/>
          <w:sz w:val="24"/>
          <w:szCs w:val="24"/>
          <w:lang w:eastAsia="en-IN"/>
        </w:rPr>
        <w:t xml:space="preserve"> will have a discretion to alter/change any of selling parameter defined in this policy on the basis of prevailing market conditions with or without prior intimation and can use their discretion to grant any kind of exemption/permission in case </w:t>
      </w:r>
      <w:r w:rsidR="00380F75" w:rsidRPr="00E65649">
        <w:rPr>
          <w:rFonts w:ascii="Book Antiqua" w:eastAsia="Times New Roman" w:hAnsi="Book Antiqua"/>
          <w:sz w:val="24"/>
          <w:szCs w:val="24"/>
          <w:lang w:eastAsia="en-IN"/>
        </w:rPr>
        <w:t>they deem</w:t>
      </w:r>
      <w:r w:rsidR="00506B15" w:rsidRPr="00E65649">
        <w:rPr>
          <w:rFonts w:ascii="Book Antiqua" w:eastAsia="Times New Roman" w:hAnsi="Book Antiqua"/>
          <w:sz w:val="24"/>
          <w:szCs w:val="24"/>
          <w:lang w:eastAsia="en-IN"/>
        </w:rPr>
        <w:t xml:space="preserve"> fit on case to case basis. </w:t>
      </w:r>
    </w:p>
    <w:p w:rsidR="00506B15" w:rsidRPr="00E65649" w:rsidRDefault="00506B15" w:rsidP="0093792D">
      <w:pPr>
        <w:pStyle w:val="ListParagraph"/>
        <w:numPr>
          <w:ilvl w:val="0"/>
          <w:numId w:val="11"/>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 xml:space="preserve">In case of any disagreement and/or ambiguity, </w:t>
      </w:r>
      <w:r w:rsidR="00802DF4" w:rsidRPr="00E65649">
        <w:rPr>
          <w:rFonts w:ascii="Book Antiqua" w:eastAsia="Times New Roman" w:hAnsi="Book Antiqua"/>
          <w:sz w:val="24"/>
          <w:szCs w:val="24"/>
          <w:lang w:eastAsia="en-IN"/>
        </w:rPr>
        <w:t>the m</w:t>
      </w:r>
      <w:r w:rsidRPr="00E65649">
        <w:rPr>
          <w:rFonts w:ascii="Book Antiqua" w:eastAsia="Times New Roman" w:hAnsi="Book Antiqua"/>
          <w:sz w:val="24"/>
          <w:szCs w:val="24"/>
          <w:lang w:eastAsia="en-IN"/>
        </w:rPr>
        <w:t>anagement reserves the right to make the decision, which shall be final and binding.</w:t>
      </w:r>
    </w:p>
    <w:p w:rsidR="004E3001" w:rsidRPr="00E65649" w:rsidRDefault="00506B15" w:rsidP="0093792D">
      <w:pPr>
        <w:pStyle w:val="ListParagraph"/>
        <w:numPr>
          <w:ilvl w:val="0"/>
          <w:numId w:val="11"/>
        </w:numPr>
        <w:shd w:val="clear" w:color="auto" w:fill="FFFFFF"/>
        <w:spacing w:after="225" w:line="240" w:lineRule="auto"/>
        <w:ind w:left="720"/>
        <w:jc w:val="both"/>
        <w:rPr>
          <w:rFonts w:ascii="Book Antiqua" w:eastAsia="Times New Roman" w:hAnsi="Book Antiqua"/>
          <w:sz w:val="24"/>
          <w:szCs w:val="24"/>
          <w:lang w:eastAsia="en-IN"/>
        </w:rPr>
      </w:pPr>
      <w:r w:rsidRPr="00E65649">
        <w:rPr>
          <w:rFonts w:ascii="Book Antiqua" w:eastAsia="Times New Roman" w:hAnsi="Book Antiqua"/>
          <w:sz w:val="24"/>
          <w:szCs w:val="24"/>
          <w:lang w:eastAsia="en-IN"/>
        </w:rPr>
        <w:t>Any loss/ damage arising out of compulsory square-off of trades towards outstanding debits from clients, the same will be debited to the clients account for which the clients will have to make the full payments. Please note that further exposure will not be allowed in case of any outstanding debits in the clients account.</w:t>
      </w:r>
    </w:p>
    <w:p w:rsidR="004E3001" w:rsidRPr="00E65649" w:rsidRDefault="004E3001" w:rsidP="004E3001">
      <w:pPr>
        <w:pStyle w:val="BodyText"/>
        <w:ind w:left="360"/>
        <w:jc w:val="both"/>
      </w:pPr>
    </w:p>
    <w:sectPr w:rsidR="004E3001" w:rsidRPr="00E65649" w:rsidSect="00300075">
      <w:headerReference w:type="default" r:id="rId9"/>
      <w:footerReference w:type="default" r:id="rId10"/>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00A" w:rsidRDefault="0030400A">
      <w:r>
        <w:separator/>
      </w:r>
    </w:p>
  </w:endnote>
  <w:endnote w:type="continuationSeparator" w:id="0">
    <w:p w:rsidR="0030400A" w:rsidRDefault="003040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A03" w:rsidRDefault="00A23E72">
    <w:pPr>
      <w:pStyle w:val="Footer"/>
    </w:pPr>
    <w:r>
      <w:rPr>
        <w:rFonts w:asciiTheme="majorHAnsi" w:hAnsiTheme="majorHAnsi" w:cstheme="majorHAnsi"/>
      </w:rPr>
      <w:t>&lt;Name of the Company&gt;</w:t>
    </w:r>
    <w:r w:rsidR="00A968B3">
      <w:rPr>
        <w:rFonts w:asciiTheme="majorHAnsi" w:hAnsiTheme="majorHAnsi" w:cstheme="majorHAnsi"/>
      </w:rPr>
      <w:tab/>
    </w:r>
    <w:r w:rsidR="00A968B3">
      <w:rPr>
        <w:rFonts w:asciiTheme="majorHAnsi" w:hAnsiTheme="majorHAnsi" w:cstheme="majorHAnsi"/>
      </w:rPr>
      <w:tab/>
    </w:r>
    <w:r w:rsidR="00A968B3" w:rsidRPr="00A968B3">
      <w:rPr>
        <w:rFonts w:asciiTheme="majorHAnsi" w:hAnsiTheme="majorHAnsi" w:cstheme="majorHAnsi"/>
        <w:color w:val="7F7F7F" w:themeColor="background1" w:themeShade="7F"/>
        <w:spacing w:val="60"/>
      </w:rPr>
      <w:t>Page</w:t>
    </w:r>
    <w:r w:rsidR="00A968B3" w:rsidRPr="00A968B3">
      <w:rPr>
        <w:rFonts w:asciiTheme="majorHAnsi" w:hAnsiTheme="majorHAnsi" w:cstheme="majorHAnsi"/>
      </w:rPr>
      <w:t xml:space="preserve"> | </w:t>
    </w:r>
    <w:r w:rsidR="008E61E6" w:rsidRPr="00A968B3">
      <w:rPr>
        <w:rFonts w:asciiTheme="majorHAnsi" w:hAnsiTheme="majorHAnsi" w:cstheme="majorHAnsi"/>
      </w:rPr>
      <w:fldChar w:fldCharType="begin"/>
    </w:r>
    <w:r w:rsidR="00A968B3" w:rsidRPr="00A968B3">
      <w:rPr>
        <w:rFonts w:asciiTheme="majorHAnsi" w:hAnsiTheme="majorHAnsi" w:cstheme="majorHAnsi"/>
      </w:rPr>
      <w:instrText xml:space="preserve"> PAGE   \* MERGEFORMAT </w:instrText>
    </w:r>
    <w:r w:rsidR="008E61E6" w:rsidRPr="00A968B3">
      <w:rPr>
        <w:rFonts w:asciiTheme="majorHAnsi" w:hAnsiTheme="majorHAnsi" w:cstheme="majorHAnsi"/>
      </w:rPr>
      <w:fldChar w:fldCharType="separate"/>
    </w:r>
    <w:r w:rsidR="00C67E6C" w:rsidRPr="00C67E6C">
      <w:rPr>
        <w:rFonts w:asciiTheme="majorHAnsi" w:hAnsiTheme="majorHAnsi" w:cstheme="majorHAnsi"/>
        <w:b/>
        <w:noProof/>
      </w:rPr>
      <w:t>3</w:t>
    </w:r>
    <w:r w:rsidR="008E61E6" w:rsidRPr="00A968B3">
      <w:rPr>
        <w:rFonts w:asciiTheme="majorHAnsi" w:hAnsiTheme="majorHAnsi" w:cstheme="majorHAnsi"/>
      </w:rPr>
      <w:fldChar w:fldCharType="end"/>
    </w:r>
    <w:r w:rsidR="008E61E6">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8" style="position:absolute;left:8;top:9;width:4031;height:1439;mso-width-percent:400;mso-height-percent:1000;mso-width-percent:400;mso-height-percent:1000;mso-width-relative:margin;mso-height-relative:bottom-margin-area" filled="f" stroked="f"/>
          <w10:wrap anchorx="page" anchory="page"/>
        </v:group>
      </w:pict>
    </w:r>
    <w:r w:rsidR="008E61E6">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8E61E6">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00A" w:rsidRDefault="0030400A">
      <w:r>
        <w:separator/>
      </w:r>
    </w:p>
  </w:footnote>
  <w:footnote w:type="continuationSeparator" w:id="0">
    <w:p w:rsidR="0030400A" w:rsidRDefault="003040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762899"/>
      <w:dataBinding w:prefixMappings="xmlns:ns0='http://schemas.openxmlformats.org/package/2006/metadata/core-properties' xmlns:ns1='http://purl.org/dc/elements/1.1/'" w:xpath="/ns0:coreProperties[1]/ns1:title[1]" w:storeItemID="{6C3C8BC8-F283-45AE-878A-BAB7291924A1}"/>
      <w:text/>
    </w:sdtPr>
    <w:sdtContent>
      <w:p w:rsidR="00A23E72" w:rsidRDefault="00C3395A">
        <w:pPr>
          <w:pStyle w:val="Header"/>
          <w:rPr>
            <w:rFonts w:asciiTheme="majorHAnsi" w:eastAsiaTheme="majorEastAsia" w:hAnsiTheme="majorHAnsi" w:cstheme="majorBidi"/>
          </w:rPr>
        </w:pPr>
        <w:r>
          <w:rPr>
            <w:rFonts w:asciiTheme="majorHAnsi" w:eastAsiaTheme="majorEastAsia" w:hAnsiTheme="majorHAnsi" w:cstheme="majorBidi"/>
          </w:rPr>
          <w:t>RMS Policy</w:t>
        </w:r>
      </w:p>
    </w:sdtContent>
  </w:sdt>
  <w:p w:rsidR="00A23E72" w:rsidRDefault="008E61E6" w:rsidP="00300075">
    <w:pPr>
      <w:pStyle w:val="Header"/>
      <w:spacing w:after="0" w:line="240" w:lineRule="auto"/>
    </w:pPr>
    <w:r w:rsidRPr="008E61E6">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8E61E6">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8E61E6">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83E"/>
    <w:multiLevelType w:val="hybridMultilevel"/>
    <w:tmpl w:val="1A6E32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40CCE"/>
    <w:multiLevelType w:val="hybridMultilevel"/>
    <w:tmpl w:val="DEC0F4D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B479A7"/>
    <w:multiLevelType w:val="hybridMultilevel"/>
    <w:tmpl w:val="60CE3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57247"/>
    <w:multiLevelType w:val="hybridMultilevel"/>
    <w:tmpl w:val="C8DE95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6200218"/>
    <w:multiLevelType w:val="hybridMultilevel"/>
    <w:tmpl w:val="F68E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77CAD"/>
    <w:multiLevelType w:val="hybridMultilevel"/>
    <w:tmpl w:val="9C9EC8D2"/>
    <w:lvl w:ilvl="0" w:tplc="1F8237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78254C"/>
    <w:multiLevelType w:val="hybridMultilevel"/>
    <w:tmpl w:val="18EE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F56A3"/>
    <w:multiLevelType w:val="hybridMultilevel"/>
    <w:tmpl w:val="902C7CB4"/>
    <w:lvl w:ilvl="0" w:tplc="56208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104104"/>
    <w:multiLevelType w:val="hybridMultilevel"/>
    <w:tmpl w:val="BC548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BB3742"/>
    <w:multiLevelType w:val="hybridMultilevel"/>
    <w:tmpl w:val="45DC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E26B81"/>
    <w:multiLevelType w:val="hybridMultilevel"/>
    <w:tmpl w:val="E0604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68A54F8"/>
    <w:multiLevelType w:val="hybridMultilevel"/>
    <w:tmpl w:val="0D8E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8"/>
  </w:num>
  <w:num w:numId="5">
    <w:abstractNumId w:val="4"/>
  </w:num>
  <w:num w:numId="6">
    <w:abstractNumId w:val="5"/>
  </w:num>
  <w:num w:numId="7">
    <w:abstractNumId w:val="11"/>
  </w:num>
  <w:num w:numId="8">
    <w:abstractNumId w:val="2"/>
  </w:num>
  <w:num w:numId="9">
    <w:abstractNumId w:val="0"/>
  </w:num>
  <w:num w:numId="10">
    <w:abstractNumId w:val="6"/>
  </w:num>
  <w:num w:numId="11">
    <w:abstractNumId w:val="10"/>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10"/>
  <w:displayHorizontalDrawingGridEvery w:val="2"/>
  <w:noPunctuationKerning/>
  <w:characterSpacingControl w:val="doNotCompress"/>
  <w:savePreviewPicture/>
  <w:hdrShapeDefaults>
    <o:shapedefaults v:ext="edit" spidmax="4098"/>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8E1DD0"/>
    <w:rsid w:val="000020F8"/>
    <w:rsid w:val="00002DD7"/>
    <w:rsid w:val="0000491B"/>
    <w:rsid w:val="000067AE"/>
    <w:rsid w:val="00012695"/>
    <w:rsid w:val="000143EC"/>
    <w:rsid w:val="000160EE"/>
    <w:rsid w:val="0002432D"/>
    <w:rsid w:val="000451E1"/>
    <w:rsid w:val="00046CBC"/>
    <w:rsid w:val="00052784"/>
    <w:rsid w:val="00052BE1"/>
    <w:rsid w:val="000537F1"/>
    <w:rsid w:val="00067C34"/>
    <w:rsid w:val="00070013"/>
    <w:rsid w:val="00071345"/>
    <w:rsid w:val="0007626B"/>
    <w:rsid w:val="0008203B"/>
    <w:rsid w:val="000828EE"/>
    <w:rsid w:val="00082978"/>
    <w:rsid w:val="00084425"/>
    <w:rsid w:val="00091A99"/>
    <w:rsid w:val="00091EAF"/>
    <w:rsid w:val="000949F9"/>
    <w:rsid w:val="000964F7"/>
    <w:rsid w:val="00097634"/>
    <w:rsid w:val="000A338C"/>
    <w:rsid w:val="000A4D4B"/>
    <w:rsid w:val="000A5BE4"/>
    <w:rsid w:val="000A6C91"/>
    <w:rsid w:val="000A79AD"/>
    <w:rsid w:val="000B2B46"/>
    <w:rsid w:val="000B6C50"/>
    <w:rsid w:val="000C288A"/>
    <w:rsid w:val="000D2430"/>
    <w:rsid w:val="000D2BA1"/>
    <w:rsid w:val="000D5C39"/>
    <w:rsid w:val="000E1676"/>
    <w:rsid w:val="000E2573"/>
    <w:rsid w:val="000E4C80"/>
    <w:rsid w:val="000E4DEA"/>
    <w:rsid w:val="000E589F"/>
    <w:rsid w:val="000E5C5C"/>
    <w:rsid w:val="000E7B48"/>
    <w:rsid w:val="000F21E0"/>
    <w:rsid w:val="000F4648"/>
    <w:rsid w:val="000F619E"/>
    <w:rsid w:val="00100A93"/>
    <w:rsid w:val="00101078"/>
    <w:rsid w:val="00104B24"/>
    <w:rsid w:val="00105C40"/>
    <w:rsid w:val="00111710"/>
    <w:rsid w:val="00113BC8"/>
    <w:rsid w:val="00115655"/>
    <w:rsid w:val="00116063"/>
    <w:rsid w:val="0012073D"/>
    <w:rsid w:val="00121403"/>
    <w:rsid w:val="001225CD"/>
    <w:rsid w:val="00124EEC"/>
    <w:rsid w:val="00130BF4"/>
    <w:rsid w:val="0013147B"/>
    <w:rsid w:val="001346BE"/>
    <w:rsid w:val="0014224B"/>
    <w:rsid w:val="00142B70"/>
    <w:rsid w:val="00143CC1"/>
    <w:rsid w:val="00144410"/>
    <w:rsid w:val="00152B25"/>
    <w:rsid w:val="00152F0B"/>
    <w:rsid w:val="00157A96"/>
    <w:rsid w:val="001604B2"/>
    <w:rsid w:val="00167C68"/>
    <w:rsid w:val="00170950"/>
    <w:rsid w:val="001739BC"/>
    <w:rsid w:val="00177308"/>
    <w:rsid w:val="00180D4D"/>
    <w:rsid w:val="001812D7"/>
    <w:rsid w:val="0018279C"/>
    <w:rsid w:val="001852BA"/>
    <w:rsid w:val="00190576"/>
    <w:rsid w:val="00190D90"/>
    <w:rsid w:val="00192047"/>
    <w:rsid w:val="001A3400"/>
    <w:rsid w:val="001A3AA1"/>
    <w:rsid w:val="001A3C2B"/>
    <w:rsid w:val="001A51AF"/>
    <w:rsid w:val="001A5BC0"/>
    <w:rsid w:val="001B0569"/>
    <w:rsid w:val="001C01F5"/>
    <w:rsid w:val="001C2715"/>
    <w:rsid w:val="001C6607"/>
    <w:rsid w:val="001D1184"/>
    <w:rsid w:val="001E08FA"/>
    <w:rsid w:val="001E1BBA"/>
    <w:rsid w:val="001E213A"/>
    <w:rsid w:val="001E65B2"/>
    <w:rsid w:val="001F147A"/>
    <w:rsid w:val="001F5612"/>
    <w:rsid w:val="001F5F4E"/>
    <w:rsid w:val="002002FD"/>
    <w:rsid w:val="002026F9"/>
    <w:rsid w:val="00206BB8"/>
    <w:rsid w:val="00211269"/>
    <w:rsid w:val="002201C4"/>
    <w:rsid w:val="00224914"/>
    <w:rsid w:val="00225BCC"/>
    <w:rsid w:val="002305AD"/>
    <w:rsid w:val="0023496D"/>
    <w:rsid w:val="00236A3C"/>
    <w:rsid w:val="00237511"/>
    <w:rsid w:val="002465D7"/>
    <w:rsid w:val="0025145A"/>
    <w:rsid w:val="002532CA"/>
    <w:rsid w:val="0025790C"/>
    <w:rsid w:val="002617D0"/>
    <w:rsid w:val="002627B1"/>
    <w:rsid w:val="0026567C"/>
    <w:rsid w:val="00265697"/>
    <w:rsid w:val="0027012D"/>
    <w:rsid w:val="002754C1"/>
    <w:rsid w:val="00290BB5"/>
    <w:rsid w:val="0029253A"/>
    <w:rsid w:val="00295D16"/>
    <w:rsid w:val="00296471"/>
    <w:rsid w:val="00296A03"/>
    <w:rsid w:val="002A02EB"/>
    <w:rsid w:val="002A13EC"/>
    <w:rsid w:val="002A3852"/>
    <w:rsid w:val="002A3A11"/>
    <w:rsid w:val="002A7DDB"/>
    <w:rsid w:val="002B633E"/>
    <w:rsid w:val="002C473C"/>
    <w:rsid w:val="002C6CE3"/>
    <w:rsid w:val="002C7B40"/>
    <w:rsid w:val="002D1107"/>
    <w:rsid w:val="002D1C2C"/>
    <w:rsid w:val="002D4981"/>
    <w:rsid w:val="002D49F1"/>
    <w:rsid w:val="002E16F1"/>
    <w:rsid w:val="002E1C81"/>
    <w:rsid w:val="002E7B83"/>
    <w:rsid w:val="002F0C53"/>
    <w:rsid w:val="002F3A60"/>
    <w:rsid w:val="002F62DC"/>
    <w:rsid w:val="002F76DC"/>
    <w:rsid w:val="00300075"/>
    <w:rsid w:val="00303A7D"/>
    <w:rsid w:val="0030400A"/>
    <w:rsid w:val="00305102"/>
    <w:rsid w:val="00306E9E"/>
    <w:rsid w:val="003101B1"/>
    <w:rsid w:val="00313BA9"/>
    <w:rsid w:val="0031510F"/>
    <w:rsid w:val="003153BD"/>
    <w:rsid w:val="00317F3B"/>
    <w:rsid w:val="00321EEB"/>
    <w:rsid w:val="00326340"/>
    <w:rsid w:val="00327F48"/>
    <w:rsid w:val="00333148"/>
    <w:rsid w:val="00341C36"/>
    <w:rsid w:val="00342A8C"/>
    <w:rsid w:val="00344FB6"/>
    <w:rsid w:val="00346638"/>
    <w:rsid w:val="00347F2B"/>
    <w:rsid w:val="003519B7"/>
    <w:rsid w:val="00352B67"/>
    <w:rsid w:val="00356449"/>
    <w:rsid w:val="00357285"/>
    <w:rsid w:val="00357C49"/>
    <w:rsid w:val="00360A4D"/>
    <w:rsid w:val="00361522"/>
    <w:rsid w:val="0036197E"/>
    <w:rsid w:val="00363866"/>
    <w:rsid w:val="003639B5"/>
    <w:rsid w:val="00364C1C"/>
    <w:rsid w:val="00366FB0"/>
    <w:rsid w:val="00370DE9"/>
    <w:rsid w:val="00372244"/>
    <w:rsid w:val="003725FA"/>
    <w:rsid w:val="0037296C"/>
    <w:rsid w:val="0038061B"/>
    <w:rsid w:val="00380F75"/>
    <w:rsid w:val="0038264A"/>
    <w:rsid w:val="00387E5C"/>
    <w:rsid w:val="00396E10"/>
    <w:rsid w:val="00397286"/>
    <w:rsid w:val="003A38B7"/>
    <w:rsid w:val="003B2412"/>
    <w:rsid w:val="003B2C9E"/>
    <w:rsid w:val="003B604D"/>
    <w:rsid w:val="003B7717"/>
    <w:rsid w:val="003C0CF2"/>
    <w:rsid w:val="003C36F2"/>
    <w:rsid w:val="003C4E7A"/>
    <w:rsid w:val="003D1C77"/>
    <w:rsid w:val="003D3099"/>
    <w:rsid w:val="003D3718"/>
    <w:rsid w:val="003D6AE1"/>
    <w:rsid w:val="003E72B4"/>
    <w:rsid w:val="003F30D3"/>
    <w:rsid w:val="003F3C64"/>
    <w:rsid w:val="003F4731"/>
    <w:rsid w:val="00402227"/>
    <w:rsid w:val="00407888"/>
    <w:rsid w:val="00407B72"/>
    <w:rsid w:val="00410C99"/>
    <w:rsid w:val="00411738"/>
    <w:rsid w:val="00411804"/>
    <w:rsid w:val="00415264"/>
    <w:rsid w:val="00416B28"/>
    <w:rsid w:val="0042219C"/>
    <w:rsid w:val="0043062D"/>
    <w:rsid w:val="00431D76"/>
    <w:rsid w:val="00435603"/>
    <w:rsid w:val="00442D5B"/>
    <w:rsid w:val="0044316D"/>
    <w:rsid w:val="00446643"/>
    <w:rsid w:val="00447C02"/>
    <w:rsid w:val="00456A27"/>
    <w:rsid w:val="0047035D"/>
    <w:rsid w:val="004731B0"/>
    <w:rsid w:val="004758DF"/>
    <w:rsid w:val="004924D3"/>
    <w:rsid w:val="00492943"/>
    <w:rsid w:val="00492E86"/>
    <w:rsid w:val="00494FA0"/>
    <w:rsid w:val="00494FBA"/>
    <w:rsid w:val="004A5C47"/>
    <w:rsid w:val="004A68DF"/>
    <w:rsid w:val="004B304F"/>
    <w:rsid w:val="004B5631"/>
    <w:rsid w:val="004C144E"/>
    <w:rsid w:val="004C33C1"/>
    <w:rsid w:val="004C4EAD"/>
    <w:rsid w:val="004D3AB6"/>
    <w:rsid w:val="004D6C47"/>
    <w:rsid w:val="004E1077"/>
    <w:rsid w:val="004E3001"/>
    <w:rsid w:val="004F3371"/>
    <w:rsid w:val="004F34E7"/>
    <w:rsid w:val="004F3FB5"/>
    <w:rsid w:val="004F6B7D"/>
    <w:rsid w:val="00500107"/>
    <w:rsid w:val="0050246D"/>
    <w:rsid w:val="00506B15"/>
    <w:rsid w:val="005076A4"/>
    <w:rsid w:val="00507F13"/>
    <w:rsid w:val="0051760A"/>
    <w:rsid w:val="0052623A"/>
    <w:rsid w:val="00526448"/>
    <w:rsid w:val="0053028E"/>
    <w:rsid w:val="00532135"/>
    <w:rsid w:val="00543442"/>
    <w:rsid w:val="00545B69"/>
    <w:rsid w:val="00550890"/>
    <w:rsid w:val="005650A8"/>
    <w:rsid w:val="00566B72"/>
    <w:rsid w:val="00566B8B"/>
    <w:rsid w:val="00573C8A"/>
    <w:rsid w:val="00584725"/>
    <w:rsid w:val="00585E82"/>
    <w:rsid w:val="005869FC"/>
    <w:rsid w:val="00587055"/>
    <w:rsid w:val="00587BE5"/>
    <w:rsid w:val="005920BC"/>
    <w:rsid w:val="005A0AC9"/>
    <w:rsid w:val="005A1E1A"/>
    <w:rsid w:val="005A257F"/>
    <w:rsid w:val="005A4A84"/>
    <w:rsid w:val="005A5552"/>
    <w:rsid w:val="005C294F"/>
    <w:rsid w:val="005C5A6A"/>
    <w:rsid w:val="005D083E"/>
    <w:rsid w:val="005D096B"/>
    <w:rsid w:val="005D56B8"/>
    <w:rsid w:val="005E26A2"/>
    <w:rsid w:val="005E4C13"/>
    <w:rsid w:val="005F1945"/>
    <w:rsid w:val="00601783"/>
    <w:rsid w:val="00606939"/>
    <w:rsid w:val="00610C07"/>
    <w:rsid w:val="00612E9B"/>
    <w:rsid w:val="0063272A"/>
    <w:rsid w:val="00633932"/>
    <w:rsid w:val="00640FF1"/>
    <w:rsid w:val="00642059"/>
    <w:rsid w:val="00644D3B"/>
    <w:rsid w:val="00653A04"/>
    <w:rsid w:val="00662D03"/>
    <w:rsid w:val="006652A1"/>
    <w:rsid w:val="00670E48"/>
    <w:rsid w:val="0067652B"/>
    <w:rsid w:val="00680789"/>
    <w:rsid w:val="00682064"/>
    <w:rsid w:val="00686225"/>
    <w:rsid w:val="00691E69"/>
    <w:rsid w:val="006920E3"/>
    <w:rsid w:val="00692DBE"/>
    <w:rsid w:val="0069794C"/>
    <w:rsid w:val="006A07DE"/>
    <w:rsid w:val="006A4B56"/>
    <w:rsid w:val="006A5FCC"/>
    <w:rsid w:val="006B31C9"/>
    <w:rsid w:val="006C07AB"/>
    <w:rsid w:val="006C0874"/>
    <w:rsid w:val="006D0499"/>
    <w:rsid w:val="006D1178"/>
    <w:rsid w:val="006D16D1"/>
    <w:rsid w:val="006E3ED1"/>
    <w:rsid w:val="006F1892"/>
    <w:rsid w:val="006F5303"/>
    <w:rsid w:val="006F6BF0"/>
    <w:rsid w:val="00702DD6"/>
    <w:rsid w:val="00703ED2"/>
    <w:rsid w:val="00705389"/>
    <w:rsid w:val="00706537"/>
    <w:rsid w:val="0071251A"/>
    <w:rsid w:val="007233A4"/>
    <w:rsid w:val="0072585B"/>
    <w:rsid w:val="007274F9"/>
    <w:rsid w:val="007343D8"/>
    <w:rsid w:val="0073543C"/>
    <w:rsid w:val="00740207"/>
    <w:rsid w:val="00741688"/>
    <w:rsid w:val="007426B7"/>
    <w:rsid w:val="00745DFA"/>
    <w:rsid w:val="0075168D"/>
    <w:rsid w:val="00752834"/>
    <w:rsid w:val="00752D37"/>
    <w:rsid w:val="0075786C"/>
    <w:rsid w:val="0076064C"/>
    <w:rsid w:val="00765308"/>
    <w:rsid w:val="00775057"/>
    <w:rsid w:val="00775D44"/>
    <w:rsid w:val="00782279"/>
    <w:rsid w:val="00782895"/>
    <w:rsid w:val="00787A15"/>
    <w:rsid w:val="00794635"/>
    <w:rsid w:val="007A1FC2"/>
    <w:rsid w:val="007A3091"/>
    <w:rsid w:val="007A5A84"/>
    <w:rsid w:val="007A7671"/>
    <w:rsid w:val="007B2F4A"/>
    <w:rsid w:val="007C011A"/>
    <w:rsid w:val="007C632E"/>
    <w:rsid w:val="007D3E84"/>
    <w:rsid w:val="007E0CC6"/>
    <w:rsid w:val="007E42E5"/>
    <w:rsid w:val="007F014D"/>
    <w:rsid w:val="007F3C82"/>
    <w:rsid w:val="007F6891"/>
    <w:rsid w:val="00800BFC"/>
    <w:rsid w:val="00802DF4"/>
    <w:rsid w:val="0080329C"/>
    <w:rsid w:val="008102D0"/>
    <w:rsid w:val="0081097C"/>
    <w:rsid w:val="008156E9"/>
    <w:rsid w:val="00816315"/>
    <w:rsid w:val="008168FB"/>
    <w:rsid w:val="008178EA"/>
    <w:rsid w:val="00826B7B"/>
    <w:rsid w:val="008275B0"/>
    <w:rsid w:val="008325A7"/>
    <w:rsid w:val="00850CDC"/>
    <w:rsid w:val="00854928"/>
    <w:rsid w:val="00856B80"/>
    <w:rsid w:val="00861821"/>
    <w:rsid w:val="0086269B"/>
    <w:rsid w:val="00870DCD"/>
    <w:rsid w:val="00871F25"/>
    <w:rsid w:val="00874698"/>
    <w:rsid w:val="00877346"/>
    <w:rsid w:val="00896C9C"/>
    <w:rsid w:val="0089764A"/>
    <w:rsid w:val="008A27AB"/>
    <w:rsid w:val="008A3201"/>
    <w:rsid w:val="008A4E82"/>
    <w:rsid w:val="008A54E4"/>
    <w:rsid w:val="008B003F"/>
    <w:rsid w:val="008B09EA"/>
    <w:rsid w:val="008B4AF2"/>
    <w:rsid w:val="008B54CE"/>
    <w:rsid w:val="008C1D53"/>
    <w:rsid w:val="008C6644"/>
    <w:rsid w:val="008C736C"/>
    <w:rsid w:val="008C74AC"/>
    <w:rsid w:val="008D0C97"/>
    <w:rsid w:val="008D38EE"/>
    <w:rsid w:val="008D475E"/>
    <w:rsid w:val="008D7277"/>
    <w:rsid w:val="008E0F89"/>
    <w:rsid w:val="008E1DD0"/>
    <w:rsid w:val="008E5587"/>
    <w:rsid w:val="008E61E6"/>
    <w:rsid w:val="008E6B00"/>
    <w:rsid w:val="008F3B8C"/>
    <w:rsid w:val="008F7ADC"/>
    <w:rsid w:val="00901AD7"/>
    <w:rsid w:val="00903AB1"/>
    <w:rsid w:val="009051D5"/>
    <w:rsid w:val="00905A8E"/>
    <w:rsid w:val="009114CE"/>
    <w:rsid w:val="009135D6"/>
    <w:rsid w:val="0091381C"/>
    <w:rsid w:val="00920F58"/>
    <w:rsid w:val="00926A0C"/>
    <w:rsid w:val="00926A4E"/>
    <w:rsid w:val="00927C9F"/>
    <w:rsid w:val="00932B21"/>
    <w:rsid w:val="0093792D"/>
    <w:rsid w:val="009443C0"/>
    <w:rsid w:val="009458FF"/>
    <w:rsid w:val="0094658E"/>
    <w:rsid w:val="00946CD7"/>
    <w:rsid w:val="009516B6"/>
    <w:rsid w:val="00954BB3"/>
    <w:rsid w:val="00954C7A"/>
    <w:rsid w:val="009560D1"/>
    <w:rsid w:val="00960FD8"/>
    <w:rsid w:val="00966B5B"/>
    <w:rsid w:val="0097115C"/>
    <w:rsid w:val="0097450B"/>
    <w:rsid w:val="009751BA"/>
    <w:rsid w:val="00983FE0"/>
    <w:rsid w:val="00987276"/>
    <w:rsid w:val="00987E28"/>
    <w:rsid w:val="009937ED"/>
    <w:rsid w:val="0099739D"/>
    <w:rsid w:val="009A1430"/>
    <w:rsid w:val="009A4E81"/>
    <w:rsid w:val="009B1341"/>
    <w:rsid w:val="009B24B4"/>
    <w:rsid w:val="009B3491"/>
    <w:rsid w:val="009B6AC7"/>
    <w:rsid w:val="009C15D9"/>
    <w:rsid w:val="009C2227"/>
    <w:rsid w:val="009C2C8F"/>
    <w:rsid w:val="009D54DE"/>
    <w:rsid w:val="009D5655"/>
    <w:rsid w:val="009D610F"/>
    <w:rsid w:val="009D72C8"/>
    <w:rsid w:val="009D767B"/>
    <w:rsid w:val="009E7C00"/>
    <w:rsid w:val="009F0CD5"/>
    <w:rsid w:val="009F11A8"/>
    <w:rsid w:val="009F3F15"/>
    <w:rsid w:val="009F6B26"/>
    <w:rsid w:val="00A0391A"/>
    <w:rsid w:val="00A03E66"/>
    <w:rsid w:val="00A104D9"/>
    <w:rsid w:val="00A10977"/>
    <w:rsid w:val="00A16016"/>
    <w:rsid w:val="00A23E72"/>
    <w:rsid w:val="00A24E20"/>
    <w:rsid w:val="00A24E4D"/>
    <w:rsid w:val="00A25077"/>
    <w:rsid w:val="00A2584A"/>
    <w:rsid w:val="00A351FB"/>
    <w:rsid w:val="00A426FC"/>
    <w:rsid w:val="00A45651"/>
    <w:rsid w:val="00A45F69"/>
    <w:rsid w:val="00A46C08"/>
    <w:rsid w:val="00A47D89"/>
    <w:rsid w:val="00A52BB2"/>
    <w:rsid w:val="00A62B3E"/>
    <w:rsid w:val="00A646B3"/>
    <w:rsid w:val="00A67290"/>
    <w:rsid w:val="00A70AF7"/>
    <w:rsid w:val="00A719F7"/>
    <w:rsid w:val="00A72ABB"/>
    <w:rsid w:val="00A761F7"/>
    <w:rsid w:val="00A77E15"/>
    <w:rsid w:val="00A80465"/>
    <w:rsid w:val="00A968B3"/>
    <w:rsid w:val="00AA4E85"/>
    <w:rsid w:val="00AB1142"/>
    <w:rsid w:val="00AB1D42"/>
    <w:rsid w:val="00AB4343"/>
    <w:rsid w:val="00AB6E05"/>
    <w:rsid w:val="00AC0180"/>
    <w:rsid w:val="00AD14F9"/>
    <w:rsid w:val="00AD3322"/>
    <w:rsid w:val="00AD5704"/>
    <w:rsid w:val="00AE1276"/>
    <w:rsid w:val="00AE2D21"/>
    <w:rsid w:val="00AE4E75"/>
    <w:rsid w:val="00AE55B4"/>
    <w:rsid w:val="00AE7D97"/>
    <w:rsid w:val="00AF2F44"/>
    <w:rsid w:val="00AF6CD4"/>
    <w:rsid w:val="00AF6D36"/>
    <w:rsid w:val="00AF7395"/>
    <w:rsid w:val="00B01D3F"/>
    <w:rsid w:val="00B0221A"/>
    <w:rsid w:val="00B07EF9"/>
    <w:rsid w:val="00B13311"/>
    <w:rsid w:val="00B168A5"/>
    <w:rsid w:val="00B218E5"/>
    <w:rsid w:val="00B21F96"/>
    <w:rsid w:val="00B23DBD"/>
    <w:rsid w:val="00B25AB2"/>
    <w:rsid w:val="00B26B1A"/>
    <w:rsid w:val="00B27058"/>
    <w:rsid w:val="00B31F87"/>
    <w:rsid w:val="00B32F46"/>
    <w:rsid w:val="00B37C24"/>
    <w:rsid w:val="00B400BA"/>
    <w:rsid w:val="00B41D78"/>
    <w:rsid w:val="00B44C05"/>
    <w:rsid w:val="00B51772"/>
    <w:rsid w:val="00B51E38"/>
    <w:rsid w:val="00B535C3"/>
    <w:rsid w:val="00B53B5D"/>
    <w:rsid w:val="00B73435"/>
    <w:rsid w:val="00B73C92"/>
    <w:rsid w:val="00B90D2E"/>
    <w:rsid w:val="00B978A0"/>
    <w:rsid w:val="00BA00E1"/>
    <w:rsid w:val="00BA07A9"/>
    <w:rsid w:val="00BA0B9F"/>
    <w:rsid w:val="00BA2D8A"/>
    <w:rsid w:val="00BA38D4"/>
    <w:rsid w:val="00BA7928"/>
    <w:rsid w:val="00BA7ABF"/>
    <w:rsid w:val="00BB0A91"/>
    <w:rsid w:val="00BB3103"/>
    <w:rsid w:val="00BB4BA7"/>
    <w:rsid w:val="00BB563D"/>
    <w:rsid w:val="00BB589C"/>
    <w:rsid w:val="00BC0829"/>
    <w:rsid w:val="00BC57D6"/>
    <w:rsid w:val="00BC6E5F"/>
    <w:rsid w:val="00BD13F6"/>
    <w:rsid w:val="00BD197D"/>
    <w:rsid w:val="00BD4856"/>
    <w:rsid w:val="00BD7C6C"/>
    <w:rsid w:val="00BE01F4"/>
    <w:rsid w:val="00BE5F69"/>
    <w:rsid w:val="00BF3CB0"/>
    <w:rsid w:val="00C11C84"/>
    <w:rsid w:val="00C12388"/>
    <w:rsid w:val="00C17179"/>
    <w:rsid w:val="00C17883"/>
    <w:rsid w:val="00C20A74"/>
    <w:rsid w:val="00C21FF8"/>
    <w:rsid w:val="00C22D1B"/>
    <w:rsid w:val="00C23934"/>
    <w:rsid w:val="00C26C42"/>
    <w:rsid w:val="00C270D9"/>
    <w:rsid w:val="00C31406"/>
    <w:rsid w:val="00C32C3E"/>
    <w:rsid w:val="00C3395A"/>
    <w:rsid w:val="00C41C46"/>
    <w:rsid w:val="00C45FCD"/>
    <w:rsid w:val="00C46F16"/>
    <w:rsid w:val="00C5256F"/>
    <w:rsid w:val="00C61433"/>
    <w:rsid w:val="00C63F4E"/>
    <w:rsid w:val="00C67E6C"/>
    <w:rsid w:val="00C7739E"/>
    <w:rsid w:val="00C81A35"/>
    <w:rsid w:val="00C8218B"/>
    <w:rsid w:val="00C83AEA"/>
    <w:rsid w:val="00C855B1"/>
    <w:rsid w:val="00C93F77"/>
    <w:rsid w:val="00C959ED"/>
    <w:rsid w:val="00CA32EA"/>
    <w:rsid w:val="00CB1D51"/>
    <w:rsid w:val="00CB3546"/>
    <w:rsid w:val="00CB3B17"/>
    <w:rsid w:val="00CB73EA"/>
    <w:rsid w:val="00CC4E00"/>
    <w:rsid w:val="00CD35D2"/>
    <w:rsid w:val="00CD3621"/>
    <w:rsid w:val="00CD61BA"/>
    <w:rsid w:val="00CD7BE3"/>
    <w:rsid w:val="00CE39DD"/>
    <w:rsid w:val="00CE786D"/>
    <w:rsid w:val="00CF0429"/>
    <w:rsid w:val="00CF2C39"/>
    <w:rsid w:val="00CF3C23"/>
    <w:rsid w:val="00CF4785"/>
    <w:rsid w:val="00CF630F"/>
    <w:rsid w:val="00D00A18"/>
    <w:rsid w:val="00D04459"/>
    <w:rsid w:val="00D052BE"/>
    <w:rsid w:val="00D0680B"/>
    <w:rsid w:val="00D069F9"/>
    <w:rsid w:val="00D16064"/>
    <w:rsid w:val="00D251FA"/>
    <w:rsid w:val="00D258D8"/>
    <w:rsid w:val="00D31C30"/>
    <w:rsid w:val="00D33BE0"/>
    <w:rsid w:val="00D344CB"/>
    <w:rsid w:val="00D43044"/>
    <w:rsid w:val="00D43383"/>
    <w:rsid w:val="00D43915"/>
    <w:rsid w:val="00D43ABD"/>
    <w:rsid w:val="00D4665F"/>
    <w:rsid w:val="00D46AA0"/>
    <w:rsid w:val="00D477A7"/>
    <w:rsid w:val="00D5284F"/>
    <w:rsid w:val="00D53132"/>
    <w:rsid w:val="00D54A49"/>
    <w:rsid w:val="00D5615F"/>
    <w:rsid w:val="00D65015"/>
    <w:rsid w:val="00D759A9"/>
    <w:rsid w:val="00D836DB"/>
    <w:rsid w:val="00D858DB"/>
    <w:rsid w:val="00D908E9"/>
    <w:rsid w:val="00D925A8"/>
    <w:rsid w:val="00D92E91"/>
    <w:rsid w:val="00DA116E"/>
    <w:rsid w:val="00DB52F0"/>
    <w:rsid w:val="00DB7BD6"/>
    <w:rsid w:val="00DB7CEC"/>
    <w:rsid w:val="00DC09C1"/>
    <w:rsid w:val="00DC4FCC"/>
    <w:rsid w:val="00DD0A08"/>
    <w:rsid w:val="00DD36DA"/>
    <w:rsid w:val="00DE0D9C"/>
    <w:rsid w:val="00DE25CB"/>
    <w:rsid w:val="00DE3B61"/>
    <w:rsid w:val="00DE3C5B"/>
    <w:rsid w:val="00DF042A"/>
    <w:rsid w:val="00DF485F"/>
    <w:rsid w:val="00DF6E22"/>
    <w:rsid w:val="00E02A9C"/>
    <w:rsid w:val="00E13CC0"/>
    <w:rsid w:val="00E162A9"/>
    <w:rsid w:val="00E224D0"/>
    <w:rsid w:val="00E3708C"/>
    <w:rsid w:val="00E37985"/>
    <w:rsid w:val="00E42713"/>
    <w:rsid w:val="00E45030"/>
    <w:rsid w:val="00E46CF9"/>
    <w:rsid w:val="00E50D8E"/>
    <w:rsid w:val="00E544CC"/>
    <w:rsid w:val="00E60494"/>
    <w:rsid w:val="00E623F4"/>
    <w:rsid w:val="00E65649"/>
    <w:rsid w:val="00E70C95"/>
    <w:rsid w:val="00E73F1B"/>
    <w:rsid w:val="00E75196"/>
    <w:rsid w:val="00E813B7"/>
    <w:rsid w:val="00E8176F"/>
    <w:rsid w:val="00E967BC"/>
    <w:rsid w:val="00EB5755"/>
    <w:rsid w:val="00EB751D"/>
    <w:rsid w:val="00EC4CD9"/>
    <w:rsid w:val="00EC7CB9"/>
    <w:rsid w:val="00ED2276"/>
    <w:rsid w:val="00ED4223"/>
    <w:rsid w:val="00EE09DE"/>
    <w:rsid w:val="00EE1477"/>
    <w:rsid w:val="00EE22F9"/>
    <w:rsid w:val="00EE5313"/>
    <w:rsid w:val="00EE610E"/>
    <w:rsid w:val="00EF363C"/>
    <w:rsid w:val="00F003FF"/>
    <w:rsid w:val="00F05889"/>
    <w:rsid w:val="00F059FD"/>
    <w:rsid w:val="00F20F0D"/>
    <w:rsid w:val="00F223E8"/>
    <w:rsid w:val="00F23260"/>
    <w:rsid w:val="00F23AE3"/>
    <w:rsid w:val="00F318EB"/>
    <w:rsid w:val="00F33EE5"/>
    <w:rsid w:val="00F4316E"/>
    <w:rsid w:val="00F435D0"/>
    <w:rsid w:val="00F447E3"/>
    <w:rsid w:val="00F449B1"/>
    <w:rsid w:val="00F44A6A"/>
    <w:rsid w:val="00F45ABC"/>
    <w:rsid w:val="00F5003E"/>
    <w:rsid w:val="00F51A95"/>
    <w:rsid w:val="00F60B40"/>
    <w:rsid w:val="00F64ACE"/>
    <w:rsid w:val="00F654EF"/>
    <w:rsid w:val="00F732E8"/>
    <w:rsid w:val="00F7630F"/>
    <w:rsid w:val="00F767CB"/>
    <w:rsid w:val="00F77675"/>
    <w:rsid w:val="00F8660D"/>
    <w:rsid w:val="00F87F24"/>
    <w:rsid w:val="00F90656"/>
    <w:rsid w:val="00F94C86"/>
    <w:rsid w:val="00FA3054"/>
    <w:rsid w:val="00FB033D"/>
    <w:rsid w:val="00FB1391"/>
    <w:rsid w:val="00FB5FE7"/>
    <w:rsid w:val="00FB7EEC"/>
    <w:rsid w:val="00FC2319"/>
    <w:rsid w:val="00FC496C"/>
    <w:rsid w:val="00FC523B"/>
    <w:rsid w:val="00FD5ED8"/>
    <w:rsid w:val="00FD7665"/>
    <w:rsid w:val="00FE07F2"/>
    <w:rsid w:val="00FE0C5A"/>
    <w:rsid w:val="00FE2630"/>
    <w:rsid w:val="00FE3C8D"/>
    <w:rsid w:val="00FE67C0"/>
    <w:rsid w:val="00FF15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toc 3"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64A"/>
    <w:pPr>
      <w:spacing w:after="200" w:line="276" w:lineRule="auto"/>
    </w:pPr>
    <w:rPr>
      <w:sz w:val="22"/>
      <w:szCs w:val="22"/>
    </w:rPr>
  </w:style>
  <w:style w:type="paragraph" w:styleId="Heading1">
    <w:name w:val="heading 1"/>
    <w:basedOn w:val="Normal"/>
    <w:next w:val="BodyText"/>
    <w:uiPriority w:val="9"/>
    <w:qFormat/>
    <w:rsid w:val="00EB751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uiPriority w:val="9"/>
    <w:unhideWhenUsed/>
    <w:qFormat/>
    <w:rsid w:val="00EB751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EB751D"/>
    <w:pPr>
      <w:spacing w:after="160" w:line="240" w:lineRule="exact"/>
    </w:pPr>
    <w:rPr>
      <w:rFonts w:ascii="Verdana" w:hAnsi="Verdana"/>
      <w:szCs w:val="20"/>
      <w:lang w:val="en-IN"/>
    </w:rPr>
  </w:style>
  <w:style w:type="paragraph" w:styleId="NormalWeb">
    <w:name w:val="Normal (Web)"/>
    <w:basedOn w:val="Normal"/>
    <w:rsid w:val="00EB751D"/>
    <w:pPr>
      <w:spacing w:before="100" w:beforeAutospacing="1" w:after="100" w:afterAutospacing="1" w:line="225" w:lineRule="atLeast"/>
      <w:ind w:left="75" w:right="75"/>
    </w:pPr>
    <w:rPr>
      <w:rFonts w:ascii="Geneva" w:hAnsi="Geneva"/>
      <w:color w:val="000000"/>
      <w:sz w:val="18"/>
      <w:szCs w:val="18"/>
    </w:rPr>
  </w:style>
  <w:style w:type="paragraph" w:styleId="BodyText">
    <w:name w:val="Body Text"/>
    <w:basedOn w:val="Normal"/>
    <w:link w:val="BodyTextChar"/>
    <w:rsid w:val="00EB751D"/>
    <w:pPr>
      <w:spacing w:after="120"/>
    </w:pPr>
    <w:rPr>
      <w:sz w:val="24"/>
      <w:szCs w:val="24"/>
    </w:rPr>
  </w:style>
  <w:style w:type="paragraph" w:styleId="Header">
    <w:name w:val="header"/>
    <w:basedOn w:val="Normal"/>
    <w:link w:val="HeaderChar"/>
    <w:uiPriority w:val="99"/>
    <w:rsid w:val="00EB751D"/>
    <w:pPr>
      <w:tabs>
        <w:tab w:val="center" w:pos="4320"/>
        <w:tab w:val="right" w:pos="8640"/>
      </w:tabs>
    </w:pPr>
  </w:style>
  <w:style w:type="paragraph" w:styleId="Footer">
    <w:name w:val="footer"/>
    <w:basedOn w:val="Normal"/>
    <w:link w:val="FooterChar"/>
    <w:uiPriority w:val="99"/>
    <w:rsid w:val="00EB751D"/>
    <w:pPr>
      <w:tabs>
        <w:tab w:val="center" w:pos="4320"/>
        <w:tab w:val="right" w:pos="8640"/>
      </w:tabs>
    </w:pPr>
  </w:style>
  <w:style w:type="character" w:styleId="PageNumber">
    <w:name w:val="page number"/>
    <w:rsid w:val="00EB751D"/>
    <w:rPr>
      <w:rFonts w:ascii="Arial" w:hAnsi="Arial"/>
      <w:sz w:val="20"/>
    </w:rPr>
  </w:style>
  <w:style w:type="paragraph" w:styleId="Title">
    <w:name w:val="Title"/>
    <w:basedOn w:val="Normal"/>
    <w:uiPriority w:val="10"/>
    <w:qFormat/>
    <w:rsid w:val="00EB75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paragraph" w:customStyle="1" w:styleId="StyleTableHeaderArialLinespacing15lines">
    <w:name w:val="Style Table Header + Arial Line spacing:  1.5 lines"/>
    <w:basedOn w:val="Normal"/>
    <w:rsid w:val="00EB751D"/>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Hyperlink">
    <w:name w:val="Hyperlink"/>
    <w:uiPriority w:val="99"/>
    <w:rsid w:val="00EB751D"/>
    <w:rPr>
      <w:color w:val="0000FF"/>
      <w:u w:val="single"/>
    </w:rPr>
  </w:style>
  <w:style w:type="paragraph" w:styleId="BodyText2">
    <w:name w:val="Body Text 2"/>
    <w:basedOn w:val="Normal"/>
    <w:rsid w:val="00816315"/>
    <w:pPr>
      <w:spacing w:after="120" w:line="480" w:lineRule="auto"/>
    </w:pPr>
  </w:style>
  <w:style w:type="paragraph" w:styleId="BodyText3">
    <w:name w:val="Body Text 3"/>
    <w:basedOn w:val="Normal"/>
    <w:link w:val="BodyText3Char"/>
    <w:rsid w:val="00816315"/>
    <w:pPr>
      <w:spacing w:after="120"/>
    </w:pPr>
    <w:rPr>
      <w:sz w:val="16"/>
      <w:szCs w:val="16"/>
    </w:rPr>
  </w:style>
  <w:style w:type="table" w:styleId="TableGrid">
    <w:name w:val="Table Grid"/>
    <w:basedOn w:val="TableNormal"/>
    <w:uiPriority w:val="59"/>
    <w:rsid w:val="00251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5145A"/>
    <w:rPr>
      <w:sz w:val="22"/>
      <w:szCs w:val="22"/>
    </w:rPr>
  </w:style>
  <w:style w:type="character" w:customStyle="1" w:styleId="BodyTextChar">
    <w:name w:val="Body Text Char"/>
    <w:link w:val="BodyText"/>
    <w:rsid w:val="0025145A"/>
    <w:rPr>
      <w:sz w:val="24"/>
      <w:szCs w:val="24"/>
    </w:rPr>
  </w:style>
  <w:style w:type="character" w:customStyle="1" w:styleId="BodyText3Char">
    <w:name w:val="Body Text 3 Char"/>
    <w:link w:val="BodyText3"/>
    <w:rsid w:val="0025145A"/>
    <w:rPr>
      <w:sz w:val="16"/>
      <w:szCs w:val="16"/>
    </w:rPr>
  </w:style>
  <w:style w:type="paragraph" w:styleId="ListParagraph">
    <w:name w:val="List Paragraph"/>
    <w:basedOn w:val="Normal"/>
    <w:uiPriority w:val="34"/>
    <w:qFormat/>
    <w:rsid w:val="00C855B1"/>
    <w:pPr>
      <w:ind w:left="720"/>
      <w:contextualSpacing/>
    </w:pPr>
  </w:style>
  <w:style w:type="paragraph" w:customStyle="1" w:styleId="Default">
    <w:name w:val="Default"/>
    <w:rsid w:val="00206BB8"/>
    <w:pPr>
      <w:autoSpaceDE w:val="0"/>
      <w:autoSpaceDN w:val="0"/>
      <w:adjustRightInd w:val="0"/>
      <w:spacing w:after="200" w:line="276" w:lineRule="auto"/>
    </w:pPr>
    <w:rPr>
      <w:rFonts w:ascii="Book Antiqua" w:hAnsi="Book Antiqua" w:cs="Book Antiqua"/>
      <w:color w:val="000000"/>
      <w:sz w:val="24"/>
      <w:szCs w:val="24"/>
    </w:rPr>
  </w:style>
  <w:style w:type="character" w:styleId="Emphasis">
    <w:name w:val="Emphasis"/>
    <w:basedOn w:val="DefaultParagraphFont"/>
    <w:uiPriority w:val="20"/>
    <w:qFormat/>
    <w:rsid w:val="0089764A"/>
    <w:rPr>
      <w:i/>
      <w:iCs/>
    </w:rPr>
  </w:style>
  <w:style w:type="paragraph" w:styleId="Index1">
    <w:name w:val="index 1"/>
    <w:basedOn w:val="Normal"/>
    <w:next w:val="Normal"/>
    <w:autoRedefine/>
    <w:uiPriority w:val="99"/>
    <w:rsid w:val="00AD14F9"/>
    <w:pPr>
      <w:ind w:left="240" w:hanging="240"/>
    </w:pPr>
  </w:style>
  <w:style w:type="paragraph" w:styleId="TOCHeading">
    <w:name w:val="TOC Heading"/>
    <w:basedOn w:val="Heading1"/>
    <w:next w:val="Normal"/>
    <w:uiPriority w:val="39"/>
    <w:semiHidden/>
    <w:unhideWhenUsed/>
    <w:qFormat/>
    <w:rsid w:val="003101B1"/>
    <w:pPr>
      <w:outlineLvl w:val="9"/>
    </w:pPr>
  </w:style>
  <w:style w:type="paragraph" w:styleId="Subtitle">
    <w:name w:val="Subtitle"/>
    <w:basedOn w:val="Normal"/>
    <w:next w:val="Normal"/>
    <w:link w:val="SubtitleChar"/>
    <w:uiPriority w:val="11"/>
    <w:qFormat/>
    <w:rsid w:val="003101B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3101B1"/>
    <w:rPr>
      <w:rFonts w:ascii="Cambria" w:eastAsia="Times New Roman" w:hAnsi="Cambria" w:cs="Times New Roman"/>
      <w:sz w:val="24"/>
      <w:szCs w:val="24"/>
    </w:rPr>
  </w:style>
  <w:style w:type="character" w:styleId="SubtleEmphasis">
    <w:name w:val="Subtle Emphasis"/>
    <w:basedOn w:val="DefaultParagraphFont"/>
    <w:uiPriority w:val="19"/>
    <w:qFormat/>
    <w:rsid w:val="002A3A11"/>
    <w:rPr>
      <w:i/>
      <w:iCs/>
      <w:color w:val="808080"/>
    </w:rPr>
  </w:style>
  <w:style w:type="character" w:styleId="Strong">
    <w:name w:val="Strong"/>
    <w:basedOn w:val="DefaultParagraphFont"/>
    <w:uiPriority w:val="22"/>
    <w:qFormat/>
    <w:rsid w:val="002A3A11"/>
    <w:rPr>
      <w:b/>
      <w:bCs/>
    </w:rPr>
  </w:style>
  <w:style w:type="paragraph" w:styleId="TOC2">
    <w:name w:val="toc 2"/>
    <w:basedOn w:val="Normal"/>
    <w:next w:val="Normal"/>
    <w:autoRedefine/>
    <w:uiPriority w:val="39"/>
    <w:rsid w:val="00EE1477"/>
    <w:pPr>
      <w:ind w:left="220"/>
    </w:pPr>
  </w:style>
  <w:style w:type="paragraph" w:styleId="TOC1">
    <w:name w:val="toc 1"/>
    <w:basedOn w:val="Normal"/>
    <w:next w:val="Normal"/>
    <w:autoRedefine/>
    <w:uiPriority w:val="39"/>
    <w:rsid w:val="007233A4"/>
  </w:style>
  <w:style w:type="character" w:customStyle="1" w:styleId="FooterChar">
    <w:name w:val="Footer Char"/>
    <w:basedOn w:val="DefaultParagraphFont"/>
    <w:link w:val="Footer"/>
    <w:uiPriority w:val="99"/>
    <w:rsid w:val="00703ED2"/>
    <w:rPr>
      <w:sz w:val="22"/>
      <w:szCs w:val="22"/>
      <w:lang w:val="en-US" w:eastAsia="en-US"/>
    </w:rPr>
  </w:style>
  <w:style w:type="character" w:customStyle="1" w:styleId="NoSpacingChar">
    <w:name w:val="No Spacing Char"/>
    <w:basedOn w:val="DefaultParagraphFont"/>
    <w:link w:val="NoSpacing"/>
    <w:uiPriority w:val="1"/>
    <w:rsid w:val="00903AB1"/>
    <w:rPr>
      <w:sz w:val="22"/>
      <w:szCs w:val="22"/>
    </w:rPr>
  </w:style>
  <w:style w:type="paragraph" w:styleId="BalloonText">
    <w:name w:val="Balloon Text"/>
    <w:basedOn w:val="Normal"/>
    <w:link w:val="BalloonTextChar"/>
    <w:rsid w:val="00903A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03AB1"/>
    <w:rPr>
      <w:rFonts w:ascii="Tahoma" w:hAnsi="Tahoma" w:cs="Tahoma"/>
      <w:sz w:val="16"/>
      <w:szCs w:val="16"/>
    </w:rPr>
  </w:style>
  <w:style w:type="paragraph" w:customStyle="1" w:styleId="B7A3AA4F82F84F2E8D122C3B6DBBE8C9">
    <w:name w:val="B7A3AA4F82F84F2E8D122C3B6DBBE8C9"/>
    <w:rsid w:val="00903AB1"/>
    <w:pPr>
      <w:spacing w:after="200" w:line="276"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903AB1"/>
    <w:rPr>
      <w:sz w:val="22"/>
      <w:szCs w:val="22"/>
    </w:rPr>
  </w:style>
  <w:style w:type="character" w:styleId="CommentReference">
    <w:name w:val="annotation reference"/>
    <w:basedOn w:val="DefaultParagraphFont"/>
    <w:rsid w:val="0026567C"/>
    <w:rPr>
      <w:sz w:val="16"/>
      <w:szCs w:val="16"/>
    </w:rPr>
  </w:style>
  <w:style w:type="paragraph" w:styleId="CommentText">
    <w:name w:val="annotation text"/>
    <w:basedOn w:val="Normal"/>
    <w:link w:val="CommentTextChar"/>
    <w:rsid w:val="0026567C"/>
    <w:pPr>
      <w:spacing w:line="240" w:lineRule="auto"/>
    </w:pPr>
    <w:rPr>
      <w:sz w:val="20"/>
      <w:szCs w:val="20"/>
    </w:rPr>
  </w:style>
  <w:style w:type="character" w:customStyle="1" w:styleId="CommentTextChar">
    <w:name w:val="Comment Text Char"/>
    <w:basedOn w:val="DefaultParagraphFont"/>
    <w:link w:val="CommentText"/>
    <w:rsid w:val="0026567C"/>
  </w:style>
  <w:style w:type="paragraph" w:styleId="CommentSubject">
    <w:name w:val="annotation subject"/>
    <w:basedOn w:val="CommentText"/>
    <w:next w:val="CommentText"/>
    <w:link w:val="CommentSubjectChar"/>
    <w:rsid w:val="0026567C"/>
    <w:rPr>
      <w:b/>
      <w:bCs/>
    </w:rPr>
  </w:style>
  <w:style w:type="character" w:customStyle="1" w:styleId="CommentSubjectChar">
    <w:name w:val="Comment Subject Char"/>
    <w:basedOn w:val="CommentTextChar"/>
    <w:link w:val="CommentSubject"/>
    <w:rsid w:val="0026567C"/>
    <w:rPr>
      <w:b/>
      <w:bCs/>
    </w:rPr>
  </w:style>
  <w:style w:type="paragraph" w:styleId="TOC3">
    <w:name w:val="toc 3"/>
    <w:basedOn w:val="Normal"/>
    <w:next w:val="Normal"/>
    <w:autoRedefine/>
    <w:uiPriority w:val="39"/>
    <w:unhideWhenUsed/>
    <w:rsid w:val="00A23E72"/>
    <w:pPr>
      <w:spacing w:after="100"/>
      <w:ind w:left="440"/>
    </w:pPr>
  </w:style>
</w:styles>
</file>

<file path=word/webSettings.xml><?xml version="1.0" encoding="utf-8"?>
<w:webSettings xmlns:r="http://schemas.openxmlformats.org/officeDocument/2006/relationships" xmlns:w="http://schemas.openxmlformats.org/wordprocessingml/2006/main">
  <w:divs>
    <w:div w:id="11905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DA54AF-2F7E-41C1-BFE4-57BE96754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2445</Words>
  <Characters>13943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RMS Policy</vt:lpstr>
    </vt:vector>
  </TitlesOfParts>
  <Company>&lt;Nam of Company&gt;</Company>
  <LinksUpToDate>false</LinksUpToDate>
  <CharactersWithSpaces>16356</CharactersWithSpaces>
  <SharedDoc>false</SharedDoc>
  <HLinks>
    <vt:vector size="144" baseType="variant">
      <vt:variant>
        <vt:i4>524334</vt:i4>
      </vt:variant>
      <vt:variant>
        <vt:i4>138</vt:i4>
      </vt:variant>
      <vt:variant>
        <vt:i4>0</vt:i4>
      </vt:variant>
      <vt:variant>
        <vt:i4>5</vt:i4>
      </vt:variant>
      <vt:variant>
        <vt:lpwstr>mailto:jsis@nic.in</vt:lpwstr>
      </vt:variant>
      <vt:variant>
        <vt:lpwstr/>
      </vt:variant>
      <vt:variant>
        <vt:i4>3473452</vt:i4>
      </vt:variant>
      <vt:variant>
        <vt:i4>135</vt:i4>
      </vt:variant>
      <vt:variant>
        <vt:i4>0</vt:i4>
      </vt:variant>
      <vt:variant>
        <vt:i4>5</vt:i4>
      </vt:variant>
      <vt:variant>
        <vt:lpwstr>https://finnet.gov.in/</vt:lpwstr>
      </vt:variant>
      <vt:variant>
        <vt:lpwstr/>
      </vt:variant>
      <vt:variant>
        <vt:i4>1966140</vt:i4>
      </vt:variant>
      <vt:variant>
        <vt:i4>128</vt:i4>
      </vt:variant>
      <vt:variant>
        <vt:i4>0</vt:i4>
      </vt:variant>
      <vt:variant>
        <vt:i4>5</vt:i4>
      </vt:variant>
      <vt:variant>
        <vt:lpwstr/>
      </vt:variant>
      <vt:variant>
        <vt:lpwstr>_Toc414358934</vt:lpwstr>
      </vt:variant>
      <vt:variant>
        <vt:i4>1966140</vt:i4>
      </vt:variant>
      <vt:variant>
        <vt:i4>122</vt:i4>
      </vt:variant>
      <vt:variant>
        <vt:i4>0</vt:i4>
      </vt:variant>
      <vt:variant>
        <vt:i4>5</vt:i4>
      </vt:variant>
      <vt:variant>
        <vt:lpwstr/>
      </vt:variant>
      <vt:variant>
        <vt:lpwstr>_Toc414358933</vt:lpwstr>
      </vt:variant>
      <vt:variant>
        <vt:i4>1966140</vt:i4>
      </vt:variant>
      <vt:variant>
        <vt:i4>116</vt:i4>
      </vt:variant>
      <vt:variant>
        <vt:i4>0</vt:i4>
      </vt:variant>
      <vt:variant>
        <vt:i4>5</vt:i4>
      </vt:variant>
      <vt:variant>
        <vt:lpwstr/>
      </vt:variant>
      <vt:variant>
        <vt:lpwstr>_Toc414358932</vt:lpwstr>
      </vt:variant>
      <vt:variant>
        <vt:i4>1966140</vt:i4>
      </vt:variant>
      <vt:variant>
        <vt:i4>110</vt:i4>
      </vt:variant>
      <vt:variant>
        <vt:i4>0</vt:i4>
      </vt:variant>
      <vt:variant>
        <vt:i4>5</vt:i4>
      </vt:variant>
      <vt:variant>
        <vt:lpwstr/>
      </vt:variant>
      <vt:variant>
        <vt:lpwstr>_Toc414358931</vt:lpwstr>
      </vt:variant>
      <vt:variant>
        <vt:i4>1966140</vt:i4>
      </vt:variant>
      <vt:variant>
        <vt:i4>104</vt:i4>
      </vt:variant>
      <vt:variant>
        <vt:i4>0</vt:i4>
      </vt:variant>
      <vt:variant>
        <vt:i4>5</vt:i4>
      </vt:variant>
      <vt:variant>
        <vt:lpwstr/>
      </vt:variant>
      <vt:variant>
        <vt:lpwstr>_Toc414358930</vt:lpwstr>
      </vt:variant>
      <vt:variant>
        <vt:i4>2031676</vt:i4>
      </vt:variant>
      <vt:variant>
        <vt:i4>98</vt:i4>
      </vt:variant>
      <vt:variant>
        <vt:i4>0</vt:i4>
      </vt:variant>
      <vt:variant>
        <vt:i4>5</vt:i4>
      </vt:variant>
      <vt:variant>
        <vt:lpwstr/>
      </vt:variant>
      <vt:variant>
        <vt:lpwstr>_Toc414358929</vt:lpwstr>
      </vt:variant>
      <vt:variant>
        <vt:i4>2031676</vt:i4>
      </vt:variant>
      <vt:variant>
        <vt:i4>92</vt:i4>
      </vt:variant>
      <vt:variant>
        <vt:i4>0</vt:i4>
      </vt:variant>
      <vt:variant>
        <vt:i4>5</vt:i4>
      </vt:variant>
      <vt:variant>
        <vt:lpwstr/>
      </vt:variant>
      <vt:variant>
        <vt:lpwstr>_Toc414358928</vt:lpwstr>
      </vt:variant>
      <vt:variant>
        <vt:i4>2031676</vt:i4>
      </vt:variant>
      <vt:variant>
        <vt:i4>86</vt:i4>
      </vt:variant>
      <vt:variant>
        <vt:i4>0</vt:i4>
      </vt:variant>
      <vt:variant>
        <vt:i4>5</vt:i4>
      </vt:variant>
      <vt:variant>
        <vt:lpwstr/>
      </vt:variant>
      <vt:variant>
        <vt:lpwstr>_Toc414358927</vt:lpwstr>
      </vt:variant>
      <vt:variant>
        <vt:i4>2031676</vt:i4>
      </vt:variant>
      <vt:variant>
        <vt:i4>80</vt:i4>
      </vt:variant>
      <vt:variant>
        <vt:i4>0</vt:i4>
      </vt:variant>
      <vt:variant>
        <vt:i4>5</vt:i4>
      </vt:variant>
      <vt:variant>
        <vt:lpwstr/>
      </vt:variant>
      <vt:variant>
        <vt:lpwstr>_Toc414358926</vt:lpwstr>
      </vt:variant>
      <vt:variant>
        <vt:i4>2031676</vt:i4>
      </vt:variant>
      <vt:variant>
        <vt:i4>74</vt:i4>
      </vt:variant>
      <vt:variant>
        <vt:i4>0</vt:i4>
      </vt:variant>
      <vt:variant>
        <vt:i4>5</vt:i4>
      </vt:variant>
      <vt:variant>
        <vt:lpwstr/>
      </vt:variant>
      <vt:variant>
        <vt:lpwstr>_Toc414358925</vt:lpwstr>
      </vt:variant>
      <vt:variant>
        <vt:i4>2031676</vt:i4>
      </vt:variant>
      <vt:variant>
        <vt:i4>68</vt:i4>
      </vt:variant>
      <vt:variant>
        <vt:i4>0</vt:i4>
      </vt:variant>
      <vt:variant>
        <vt:i4>5</vt:i4>
      </vt:variant>
      <vt:variant>
        <vt:lpwstr/>
      </vt:variant>
      <vt:variant>
        <vt:lpwstr>_Toc414358924</vt:lpwstr>
      </vt:variant>
      <vt:variant>
        <vt:i4>2031676</vt:i4>
      </vt:variant>
      <vt:variant>
        <vt:i4>62</vt:i4>
      </vt:variant>
      <vt:variant>
        <vt:i4>0</vt:i4>
      </vt:variant>
      <vt:variant>
        <vt:i4>5</vt:i4>
      </vt:variant>
      <vt:variant>
        <vt:lpwstr/>
      </vt:variant>
      <vt:variant>
        <vt:lpwstr>_Toc414358923</vt:lpwstr>
      </vt:variant>
      <vt:variant>
        <vt:i4>2031676</vt:i4>
      </vt:variant>
      <vt:variant>
        <vt:i4>56</vt:i4>
      </vt:variant>
      <vt:variant>
        <vt:i4>0</vt:i4>
      </vt:variant>
      <vt:variant>
        <vt:i4>5</vt:i4>
      </vt:variant>
      <vt:variant>
        <vt:lpwstr/>
      </vt:variant>
      <vt:variant>
        <vt:lpwstr>_Toc414358922</vt:lpwstr>
      </vt:variant>
      <vt:variant>
        <vt:i4>2031676</vt:i4>
      </vt:variant>
      <vt:variant>
        <vt:i4>50</vt:i4>
      </vt:variant>
      <vt:variant>
        <vt:i4>0</vt:i4>
      </vt:variant>
      <vt:variant>
        <vt:i4>5</vt:i4>
      </vt:variant>
      <vt:variant>
        <vt:lpwstr/>
      </vt:variant>
      <vt:variant>
        <vt:lpwstr>_Toc414358921</vt:lpwstr>
      </vt:variant>
      <vt:variant>
        <vt:i4>2031676</vt:i4>
      </vt:variant>
      <vt:variant>
        <vt:i4>44</vt:i4>
      </vt:variant>
      <vt:variant>
        <vt:i4>0</vt:i4>
      </vt:variant>
      <vt:variant>
        <vt:i4>5</vt:i4>
      </vt:variant>
      <vt:variant>
        <vt:lpwstr/>
      </vt:variant>
      <vt:variant>
        <vt:lpwstr>_Toc414358920</vt:lpwstr>
      </vt:variant>
      <vt:variant>
        <vt:i4>1835068</vt:i4>
      </vt:variant>
      <vt:variant>
        <vt:i4>38</vt:i4>
      </vt:variant>
      <vt:variant>
        <vt:i4>0</vt:i4>
      </vt:variant>
      <vt:variant>
        <vt:i4>5</vt:i4>
      </vt:variant>
      <vt:variant>
        <vt:lpwstr/>
      </vt:variant>
      <vt:variant>
        <vt:lpwstr>_Toc414358919</vt:lpwstr>
      </vt:variant>
      <vt:variant>
        <vt:i4>1835068</vt:i4>
      </vt:variant>
      <vt:variant>
        <vt:i4>32</vt:i4>
      </vt:variant>
      <vt:variant>
        <vt:i4>0</vt:i4>
      </vt:variant>
      <vt:variant>
        <vt:i4>5</vt:i4>
      </vt:variant>
      <vt:variant>
        <vt:lpwstr/>
      </vt:variant>
      <vt:variant>
        <vt:lpwstr>_Toc414358918</vt:lpwstr>
      </vt:variant>
      <vt:variant>
        <vt:i4>1835068</vt:i4>
      </vt:variant>
      <vt:variant>
        <vt:i4>26</vt:i4>
      </vt:variant>
      <vt:variant>
        <vt:i4>0</vt:i4>
      </vt:variant>
      <vt:variant>
        <vt:i4>5</vt:i4>
      </vt:variant>
      <vt:variant>
        <vt:lpwstr/>
      </vt:variant>
      <vt:variant>
        <vt:lpwstr>_Toc414358917</vt:lpwstr>
      </vt:variant>
      <vt:variant>
        <vt:i4>1835068</vt:i4>
      </vt:variant>
      <vt:variant>
        <vt:i4>20</vt:i4>
      </vt:variant>
      <vt:variant>
        <vt:i4>0</vt:i4>
      </vt:variant>
      <vt:variant>
        <vt:i4>5</vt:i4>
      </vt:variant>
      <vt:variant>
        <vt:lpwstr/>
      </vt:variant>
      <vt:variant>
        <vt:lpwstr>_Toc414358916</vt:lpwstr>
      </vt:variant>
      <vt:variant>
        <vt:i4>1835068</vt:i4>
      </vt:variant>
      <vt:variant>
        <vt:i4>14</vt:i4>
      </vt:variant>
      <vt:variant>
        <vt:i4>0</vt:i4>
      </vt:variant>
      <vt:variant>
        <vt:i4>5</vt:i4>
      </vt:variant>
      <vt:variant>
        <vt:lpwstr/>
      </vt:variant>
      <vt:variant>
        <vt:lpwstr>_Toc414358915</vt:lpwstr>
      </vt:variant>
      <vt:variant>
        <vt:i4>1835068</vt:i4>
      </vt:variant>
      <vt:variant>
        <vt:i4>8</vt:i4>
      </vt:variant>
      <vt:variant>
        <vt:i4>0</vt:i4>
      </vt:variant>
      <vt:variant>
        <vt:i4>5</vt:i4>
      </vt:variant>
      <vt:variant>
        <vt:lpwstr/>
      </vt:variant>
      <vt:variant>
        <vt:lpwstr>_Toc414358914</vt:lpwstr>
      </vt:variant>
      <vt:variant>
        <vt:i4>1835068</vt:i4>
      </vt:variant>
      <vt:variant>
        <vt:i4>2</vt:i4>
      </vt:variant>
      <vt:variant>
        <vt:i4>0</vt:i4>
      </vt:variant>
      <vt:variant>
        <vt:i4>5</vt:i4>
      </vt:variant>
      <vt:variant>
        <vt:lpwstr/>
      </vt:variant>
      <vt:variant>
        <vt:lpwstr>_Toc414358913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RMS Policy</dc:title>
  <dc:subject>SPS Share Brokers Private Limited</dc:subject>
  <dc:creator>&lt;Name of Author&gt;</dc:creator>
  <cp:lastModifiedBy>wer</cp:lastModifiedBy>
  <cp:revision>4</cp:revision>
  <cp:lastPrinted>2012-07-06T09:01:00Z</cp:lastPrinted>
  <dcterms:created xsi:type="dcterms:W3CDTF">2025-10-13T11:16:00Z</dcterms:created>
  <dcterms:modified xsi:type="dcterms:W3CDTF">2025-10-13T11:16:00Z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096e05da89722ea72b16c587a821e3387b5f2bea052728a306cf312efb8bf97d</vt:lpwstr>
  </property>
</Properties>
</file>